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C3A" w:rsidRDefault="005D7C3A" w:rsidP="005D7C3A">
      <w:pPr>
        <w:pStyle w:val="Heading2"/>
      </w:pPr>
      <w:r>
        <w:t xml:space="preserve">477: scope note of P101 had as general use (was use of); proper definition of terms General </w:t>
      </w:r>
      <w:proofErr w:type="gramStart"/>
      <w:r>
        <w:t>vs</w:t>
      </w:r>
      <w:proofErr w:type="gramEnd"/>
      <w:r>
        <w:t xml:space="preserve"> Specific</w:t>
      </w:r>
    </w:p>
    <w:p w:rsidR="005D7C3A" w:rsidRDefault="005D7C3A" w:rsidP="005D7C3A">
      <w:r>
        <w:t xml:space="preserve">The definition of P101 had as general use changed </w:t>
      </w:r>
    </w:p>
    <w:p w:rsidR="005D7C3A" w:rsidRPr="004A1277" w:rsidRDefault="005D7C3A" w:rsidP="005D7C3A">
      <w:pPr>
        <w:pStyle w:val="Heading3"/>
        <w:rPr>
          <w:b/>
          <w:bCs/>
        </w:rPr>
      </w:pPr>
      <w:bookmarkStart w:id="0" w:name="_Toc60077250"/>
      <w:r>
        <w:t>From (OLD)</w:t>
      </w:r>
      <w:bookmarkEnd w:id="0"/>
      <w:r>
        <w:t xml:space="preserve"> </w:t>
      </w:r>
    </w:p>
    <w:p w:rsidR="005D7C3A" w:rsidRPr="004A1277" w:rsidRDefault="005D7C3A" w:rsidP="005D7C3A">
      <w:pPr>
        <w:rPr>
          <w:rFonts w:cstheme="minorHAnsi"/>
          <w:b/>
          <w:bCs/>
          <w:sz w:val="20"/>
          <w:szCs w:val="20"/>
        </w:rPr>
      </w:pPr>
      <w:r w:rsidRPr="004A1277">
        <w:rPr>
          <w:rFonts w:cstheme="minorHAnsi"/>
          <w:b/>
          <w:bCs/>
          <w:sz w:val="20"/>
          <w:szCs w:val="20"/>
        </w:rPr>
        <w:t>P101 had as general use (was use of)</w:t>
      </w:r>
    </w:p>
    <w:p w:rsidR="005D7C3A" w:rsidRPr="004A1277" w:rsidRDefault="005D7C3A" w:rsidP="005D7C3A">
      <w:pPr>
        <w:spacing w:after="0"/>
        <w:rPr>
          <w:rFonts w:cstheme="minorHAnsi"/>
          <w:sz w:val="20"/>
          <w:szCs w:val="20"/>
        </w:rPr>
      </w:pPr>
      <w:r w:rsidRPr="004A1277">
        <w:rPr>
          <w:rFonts w:cstheme="minorHAnsi"/>
          <w:sz w:val="20"/>
          <w:szCs w:val="20"/>
        </w:rPr>
        <w:t>Domain:</w:t>
      </w:r>
      <w:r w:rsidRPr="004A1277">
        <w:rPr>
          <w:rFonts w:cstheme="minorHAnsi"/>
          <w:sz w:val="20"/>
          <w:szCs w:val="20"/>
        </w:rPr>
        <w:tab/>
      </w:r>
      <w:r w:rsidRPr="004A1277">
        <w:rPr>
          <w:rFonts w:cstheme="minorHAnsi"/>
          <w:sz w:val="20"/>
          <w:szCs w:val="20"/>
        </w:rPr>
        <w:tab/>
      </w:r>
      <w:hyperlink r:id="rId5" w:anchor="heading=h.4anzqyu" w:history="1">
        <w:r w:rsidRPr="004A1277">
          <w:rPr>
            <w:rStyle w:val="Hyperlink"/>
            <w:rFonts w:cstheme="minorHAnsi"/>
            <w:sz w:val="20"/>
            <w:szCs w:val="20"/>
          </w:rPr>
          <w:t>E70</w:t>
        </w:r>
      </w:hyperlink>
      <w:r w:rsidRPr="004A1277">
        <w:rPr>
          <w:rFonts w:cstheme="minorHAnsi"/>
          <w:sz w:val="20"/>
          <w:szCs w:val="20"/>
        </w:rPr>
        <w:t xml:space="preserve"> Thing</w:t>
      </w:r>
    </w:p>
    <w:p w:rsidR="005D7C3A" w:rsidRPr="004A1277" w:rsidRDefault="005D7C3A" w:rsidP="005D7C3A">
      <w:pPr>
        <w:spacing w:after="0"/>
        <w:rPr>
          <w:rFonts w:cstheme="minorHAnsi"/>
          <w:sz w:val="20"/>
          <w:szCs w:val="20"/>
        </w:rPr>
      </w:pPr>
      <w:r w:rsidRPr="004A1277">
        <w:rPr>
          <w:rFonts w:cstheme="minorHAnsi"/>
          <w:sz w:val="20"/>
          <w:szCs w:val="20"/>
        </w:rPr>
        <w:t>Range:</w:t>
      </w:r>
      <w:r w:rsidRPr="004A1277">
        <w:rPr>
          <w:rFonts w:cstheme="minorHAnsi"/>
          <w:sz w:val="20"/>
          <w:szCs w:val="20"/>
        </w:rPr>
        <w:tab/>
      </w:r>
      <w:r w:rsidRPr="004A1277">
        <w:rPr>
          <w:rFonts w:cstheme="minorHAnsi"/>
          <w:sz w:val="20"/>
          <w:szCs w:val="20"/>
        </w:rPr>
        <w:tab/>
      </w:r>
      <w:hyperlink r:id="rId6" w:anchor="heading=h.upglbi" w:history="1">
        <w:r w:rsidRPr="004A1277">
          <w:rPr>
            <w:rStyle w:val="Hyperlink"/>
            <w:rFonts w:cstheme="minorHAnsi"/>
            <w:sz w:val="20"/>
            <w:szCs w:val="20"/>
          </w:rPr>
          <w:t>E55</w:t>
        </w:r>
      </w:hyperlink>
      <w:r w:rsidRPr="004A1277">
        <w:rPr>
          <w:rFonts w:cstheme="minorHAnsi"/>
          <w:sz w:val="20"/>
          <w:szCs w:val="20"/>
        </w:rPr>
        <w:t xml:space="preserve"> Type</w:t>
      </w:r>
    </w:p>
    <w:p w:rsidR="005D7C3A" w:rsidRPr="004A1277" w:rsidRDefault="005D7C3A" w:rsidP="005D7C3A">
      <w:pPr>
        <w:spacing w:after="0"/>
        <w:rPr>
          <w:rFonts w:cstheme="minorHAnsi"/>
          <w:sz w:val="20"/>
          <w:szCs w:val="20"/>
        </w:rPr>
      </w:pPr>
      <w:r w:rsidRPr="004A1277">
        <w:rPr>
          <w:rFonts w:cstheme="minorHAnsi"/>
          <w:sz w:val="20"/>
          <w:szCs w:val="20"/>
        </w:rPr>
        <w:t>Quantification:</w:t>
      </w:r>
      <w:r w:rsidRPr="004A1277">
        <w:rPr>
          <w:rFonts w:cstheme="minorHAnsi"/>
          <w:sz w:val="20"/>
          <w:szCs w:val="20"/>
        </w:rPr>
        <w:tab/>
        <w:t>many to many (</w:t>
      </w:r>
      <w:proofErr w:type="gramStart"/>
      <w:r w:rsidRPr="004A1277">
        <w:rPr>
          <w:rFonts w:cstheme="minorHAnsi"/>
          <w:sz w:val="20"/>
          <w:szCs w:val="20"/>
        </w:rPr>
        <w:t>0,n</w:t>
      </w:r>
      <w:proofErr w:type="gramEnd"/>
      <w:r w:rsidRPr="004A1277">
        <w:rPr>
          <w:rFonts w:cstheme="minorHAnsi"/>
          <w:sz w:val="20"/>
          <w:szCs w:val="20"/>
        </w:rPr>
        <w:t>:0,n)</w:t>
      </w:r>
    </w:p>
    <w:p w:rsidR="005D7C3A" w:rsidRPr="004A1277" w:rsidRDefault="005D7C3A" w:rsidP="005D7C3A">
      <w:pPr>
        <w:ind w:left="1440" w:hanging="1440"/>
        <w:rPr>
          <w:rFonts w:cstheme="minorHAnsi"/>
          <w:sz w:val="20"/>
          <w:szCs w:val="20"/>
        </w:rPr>
      </w:pPr>
      <w:r w:rsidRPr="004A1277">
        <w:rPr>
          <w:rFonts w:cstheme="minorHAnsi"/>
          <w:sz w:val="20"/>
          <w:szCs w:val="20"/>
        </w:rPr>
        <w:t>Scope note:</w:t>
      </w:r>
      <w:r w:rsidRPr="004A1277">
        <w:rPr>
          <w:rFonts w:cstheme="minorHAnsi"/>
          <w:sz w:val="20"/>
          <w:szCs w:val="20"/>
        </w:rPr>
        <w:tab/>
        <w:t xml:space="preserve">This property associates an instance of E70 Thing with an instance of E55 </w:t>
      </w:r>
      <w:proofErr w:type="gramStart"/>
      <w:r w:rsidRPr="004A1277">
        <w:rPr>
          <w:rFonts w:cstheme="minorHAnsi"/>
          <w:sz w:val="20"/>
          <w:szCs w:val="20"/>
        </w:rPr>
        <w:t>Type  describing</w:t>
      </w:r>
      <w:proofErr w:type="gramEnd"/>
      <w:r w:rsidRPr="004A1277">
        <w:rPr>
          <w:rFonts w:cstheme="minorHAnsi"/>
          <w:sz w:val="20"/>
          <w:szCs w:val="20"/>
        </w:rPr>
        <w:t xml:space="preserve"> its general usage.</w:t>
      </w:r>
    </w:p>
    <w:p w:rsidR="005D7C3A" w:rsidRPr="004A1277" w:rsidRDefault="005D7C3A" w:rsidP="005D7C3A">
      <w:pPr>
        <w:ind w:left="1440"/>
        <w:rPr>
          <w:rFonts w:cstheme="minorHAnsi"/>
          <w:sz w:val="20"/>
          <w:szCs w:val="20"/>
        </w:rPr>
      </w:pPr>
      <w:r w:rsidRPr="004A1277">
        <w:rPr>
          <w:rFonts w:cstheme="minorHAnsi"/>
          <w:sz w:val="20"/>
          <w:szCs w:val="20"/>
        </w:rPr>
        <w:t>It allows the relationship between particular things, both physical and immaterial, and general methods and techniques of use to be documented. Thus it can be asserted that a baseball bat had a general use for sport and a specific use for threatening people during the Great Train Robbery.</w:t>
      </w:r>
    </w:p>
    <w:p w:rsidR="005D7C3A" w:rsidRPr="004A1277" w:rsidRDefault="005D7C3A" w:rsidP="005D7C3A">
      <w:pPr>
        <w:rPr>
          <w:rFonts w:cstheme="minorHAnsi"/>
          <w:sz w:val="20"/>
          <w:szCs w:val="20"/>
        </w:rPr>
      </w:pPr>
      <w:r w:rsidRPr="004A1277">
        <w:rPr>
          <w:rFonts w:cstheme="minorHAnsi"/>
          <w:sz w:val="20"/>
          <w:szCs w:val="20"/>
        </w:rPr>
        <w:t>Examples:</w:t>
      </w:r>
      <w:r w:rsidRPr="004A1277">
        <w:rPr>
          <w:rFonts w:cstheme="minorHAnsi"/>
          <w:sz w:val="20"/>
          <w:szCs w:val="20"/>
        </w:rPr>
        <w:tab/>
      </w:r>
    </w:p>
    <w:p w:rsidR="005D7C3A" w:rsidRPr="004A1277" w:rsidRDefault="005D7C3A" w:rsidP="005D7C3A">
      <w:pPr>
        <w:numPr>
          <w:ilvl w:val="0"/>
          <w:numId w:val="1"/>
        </w:numPr>
        <w:rPr>
          <w:rFonts w:cstheme="minorHAnsi"/>
          <w:sz w:val="20"/>
          <w:szCs w:val="20"/>
        </w:rPr>
      </w:pPr>
      <w:r w:rsidRPr="004A1277">
        <w:rPr>
          <w:rFonts w:cstheme="minorHAnsi"/>
          <w:sz w:val="20"/>
          <w:szCs w:val="20"/>
        </w:rPr>
        <w:t xml:space="preserve">Tony Gill’s Ford Mustang (E22) </w:t>
      </w:r>
      <w:r w:rsidRPr="004A1277">
        <w:rPr>
          <w:rFonts w:cstheme="minorHAnsi"/>
          <w:i/>
          <w:iCs/>
          <w:sz w:val="20"/>
          <w:szCs w:val="20"/>
        </w:rPr>
        <w:t>had as general use</w:t>
      </w:r>
      <w:r w:rsidRPr="004A1277">
        <w:rPr>
          <w:rFonts w:cstheme="minorHAnsi"/>
          <w:sz w:val="20"/>
          <w:szCs w:val="20"/>
        </w:rPr>
        <w:t xml:space="preserve"> transportation (E55)</w:t>
      </w:r>
    </w:p>
    <w:p w:rsidR="005D7C3A" w:rsidRPr="004D6728" w:rsidRDefault="005D7C3A" w:rsidP="005D7C3A">
      <w:pPr>
        <w:spacing w:after="0"/>
        <w:rPr>
          <w:rFonts w:cstheme="minorHAnsi"/>
          <w:sz w:val="20"/>
          <w:szCs w:val="20"/>
        </w:rPr>
      </w:pPr>
      <w:r w:rsidRPr="004D6728">
        <w:rPr>
          <w:rFonts w:cstheme="minorHAnsi"/>
          <w:sz w:val="20"/>
          <w:szCs w:val="20"/>
        </w:rPr>
        <w:t>In First Order Logic:</w:t>
      </w:r>
    </w:p>
    <w:p w:rsidR="005D7C3A" w:rsidRPr="004D6728" w:rsidRDefault="005D7C3A" w:rsidP="005D7C3A">
      <w:pPr>
        <w:spacing w:after="0"/>
        <w:rPr>
          <w:rFonts w:cstheme="minorHAnsi"/>
          <w:sz w:val="20"/>
          <w:szCs w:val="20"/>
        </w:rPr>
      </w:pPr>
      <w:r w:rsidRPr="004D6728">
        <w:rPr>
          <w:rFonts w:cstheme="minorHAnsi"/>
          <w:sz w:val="20"/>
          <w:szCs w:val="20"/>
        </w:rPr>
        <w:tab/>
      </w:r>
      <w:r w:rsidRPr="004D6728">
        <w:rPr>
          <w:rFonts w:cstheme="minorHAnsi"/>
          <w:sz w:val="20"/>
          <w:szCs w:val="20"/>
        </w:rPr>
        <w:tab/>
        <w:t>P101(</w:t>
      </w:r>
      <w:proofErr w:type="gramStart"/>
      <w:r w:rsidRPr="004D6728">
        <w:rPr>
          <w:rFonts w:cstheme="minorHAnsi"/>
          <w:sz w:val="20"/>
          <w:szCs w:val="20"/>
        </w:rPr>
        <w:t>x,y</w:t>
      </w:r>
      <w:proofErr w:type="gramEnd"/>
      <w:r w:rsidRPr="004D6728">
        <w:rPr>
          <w:rFonts w:cstheme="minorHAnsi"/>
          <w:sz w:val="20"/>
          <w:szCs w:val="20"/>
        </w:rPr>
        <w:t xml:space="preserve">) </w:t>
      </w:r>
      <w:r w:rsidRPr="004D6728">
        <w:rPr>
          <w:rFonts w:ascii="Cambria Math" w:hAnsi="Cambria Math" w:cs="Cambria Math"/>
          <w:sz w:val="20"/>
          <w:szCs w:val="20"/>
        </w:rPr>
        <w:t>⊃</w:t>
      </w:r>
      <w:r w:rsidRPr="004D6728">
        <w:rPr>
          <w:rFonts w:cstheme="minorHAnsi"/>
          <w:sz w:val="20"/>
          <w:szCs w:val="20"/>
        </w:rPr>
        <w:t xml:space="preserve"> E70(x)</w:t>
      </w:r>
    </w:p>
    <w:p w:rsidR="005D7C3A" w:rsidRPr="004A1277" w:rsidRDefault="005D7C3A" w:rsidP="005D7C3A">
      <w:pPr>
        <w:spacing w:after="0"/>
        <w:rPr>
          <w:rFonts w:cstheme="minorHAnsi"/>
          <w:sz w:val="20"/>
          <w:szCs w:val="20"/>
          <w:lang w:val="es-ES"/>
        </w:rPr>
      </w:pPr>
      <w:r w:rsidRPr="004D6728">
        <w:rPr>
          <w:rFonts w:cstheme="minorHAnsi"/>
          <w:sz w:val="20"/>
          <w:szCs w:val="20"/>
        </w:rPr>
        <w:tab/>
      </w:r>
      <w:r w:rsidRPr="004D6728">
        <w:rPr>
          <w:rFonts w:cstheme="minorHAnsi"/>
          <w:sz w:val="20"/>
          <w:szCs w:val="20"/>
        </w:rPr>
        <w:tab/>
      </w:r>
      <w:r w:rsidRPr="004A1277">
        <w:rPr>
          <w:rFonts w:cstheme="minorHAnsi"/>
          <w:sz w:val="20"/>
          <w:szCs w:val="20"/>
          <w:lang w:val="es-ES"/>
        </w:rPr>
        <w:t>P101(</w:t>
      </w:r>
      <w:proofErr w:type="gramStart"/>
      <w:r w:rsidRPr="004A1277">
        <w:rPr>
          <w:rFonts w:cstheme="minorHAnsi"/>
          <w:sz w:val="20"/>
          <w:szCs w:val="20"/>
          <w:lang w:val="es-ES"/>
        </w:rPr>
        <w:t>x,y</w:t>
      </w:r>
      <w:proofErr w:type="gramEnd"/>
      <w:r w:rsidRPr="004A1277">
        <w:rPr>
          <w:rFonts w:cstheme="minorHAnsi"/>
          <w:sz w:val="20"/>
          <w:szCs w:val="20"/>
          <w:lang w:val="es-ES"/>
        </w:rPr>
        <w:t xml:space="preserve">) </w:t>
      </w:r>
      <w:r w:rsidRPr="004A1277">
        <w:rPr>
          <w:rFonts w:ascii="Cambria Math" w:hAnsi="Cambria Math" w:cs="Cambria Math"/>
          <w:sz w:val="20"/>
          <w:szCs w:val="20"/>
          <w:lang w:val="es-ES"/>
        </w:rPr>
        <w:t>⊃</w:t>
      </w:r>
      <w:r w:rsidRPr="004A1277">
        <w:rPr>
          <w:rFonts w:cstheme="minorHAnsi"/>
          <w:sz w:val="20"/>
          <w:szCs w:val="20"/>
          <w:lang w:val="es-ES"/>
        </w:rPr>
        <w:t xml:space="preserve"> E55(y) </w:t>
      </w:r>
    </w:p>
    <w:p w:rsidR="005D7C3A" w:rsidRPr="004A1277" w:rsidRDefault="005D7C3A" w:rsidP="005D7C3A">
      <w:pPr>
        <w:ind w:left="1440"/>
        <w:rPr>
          <w:rFonts w:cstheme="minorHAnsi"/>
          <w:sz w:val="20"/>
          <w:szCs w:val="20"/>
          <w:lang w:val="es-ES"/>
        </w:rPr>
      </w:pPr>
      <w:r w:rsidRPr="004A1277">
        <w:rPr>
          <w:rFonts w:cstheme="minorHAnsi"/>
          <w:sz w:val="20"/>
          <w:szCs w:val="20"/>
          <w:lang w:val="es-ES"/>
        </w:rPr>
        <w:t>P101(</w:t>
      </w:r>
      <w:proofErr w:type="gramStart"/>
      <w:r w:rsidRPr="004A1277">
        <w:rPr>
          <w:rFonts w:cstheme="minorHAnsi"/>
          <w:sz w:val="20"/>
          <w:szCs w:val="20"/>
          <w:lang w:val="es-ES"/>
        </w:rPr>
        <w:t>x,y</w:t>
      </w:r>
      <w:proofErr w:type="gramEnd"/>
      <w:r w:rsidRPr="004A1277">
        <w:rPr>
          <w:rFonts w:cstheme="minorHAnsi"/>
          <w:sz w:val="20"/>
          <w:szCs w:val="20"/>
          <w:lang w:val="es-ES"/>
        </w:rPr>
        <w:t xml:space="preserve">) </w:t>
      </w:r>
      <w:r w:rsidRPr="004A1277">
        <w:rPr>
          <w:rFonts w:ascii="Cambria Math" w:hAnsi="Cambria Math" w:cs="Cambria Math"/>
          <w:sz w:val="20"/>
          <w:szCs w:val="20"/>
          <w:lang w:val="es-ES"/>
        </w:rPr>
        <w:t>⊃</w:t>
      </w:r>
      <w:r w:rsidRPr="004A1277">
        <w:rPr>
          <w:rFonts w:cstheme="minorHAnsi"/>
          <w:sz w:val="20"/>
          <w:szCs w:val="20"/>
          <w:lang w:val="es-ES"/>
        </w:rPr>
        <w:t xml:space="preserve"> (</w:t>
      </w:r>
      <w:r w:rsidRPr="004A1277">
        <w:rPr>
          <w:rFonts w:ascii="Cambria Math" w:hAnsi="Cambria Math" w:cs="Cambria Math"/>
          <w:sz w:val="20"/>
          <w:szCs w:val="20"/>
          <w:lang w:val="es-ES"/>
        </w:rPr>
        <w:t>∃</w:t>
      </w:r>
      <w:r w:rsidRPr="004A1277">
        <w:rPr>
          <w:rFonts w:cstheme="minorHAnsi"/>
          <w:sz w:val="20"/>
          <w:szCs w:val="20"/>
          <w:lang w:val="es-ES"/>
        </w:rPr>
        <w:t xml:space="preserve">z)[E7(z) </w:t>
      </w:r>
      <w:r w:rsidRPr="004A1277">
        <w:rPr>
          <w:rFonts w:ascii="Cambria Math" w:hAnsi="Cambria Math" w:cs="Cambria Math"/>
          <w:sz w:val="20"/>
          <w:szCs w:val="20"/>
          <w:lang w:val="es-ES"/>
        </w:rPr>
        <w:t>∧</w:t>
      </w:r>
      <w:r w:rsidRPr="004A1277">
        <w:rPr>
          <w:rFonts w:cstheme="minorHAnsi"/>
          <w:sz w:val="20"/>
          <w:szCs w:val="20"/>
          <w:lang w:val="es-ES"/>
        </w:rPr>
        <w:t xml:space="preserve"> P16(z,x) </w:t>
      </w:r>
      <w:r w:rsidRPr="004A1277">
        <w:rPr>
          <w:rFonts w:ascii="Cambria Math" w:hAnsi="Cambria Math" w:cs="Cambria Math"/>
          <w:sz w:val="20"/>
          <w:szCs w:val="20"/>
          <w:lang w:val="es-ES"/>
        </w:rPr>
        <w:t>∧</w:t>
      </w:r>
      <w:r w:rsidRPr="004A1277">
        <w:rPr>
          <w:rFonts w:cstheme="minorHAnsi"/>
          <w:sz w:val="20"/>
          <w:szCs w:val="20"/>
          <w:lang w:val="es-ES"/>
        </w:rPr>
        <w:t>  P2(z,y)]</w:t>
      </w:r>
    </w:p>
    <w:p w:rsidR="005D7C3A" w:rsidRPr="004A1277" w:rsidRDefault="005D7C3A" w:rsidP="005D7C3A">
      <w:pPr>
        <w:rPr>
          <w:rFonts w:cstheme="minorHAnsi"/>
          <w:sz w:val="20"/>
          <w:szCs w:val="20"/>
          <w:lang w:val="es-ES"/>
        </w:rPr>
      </w:pPr>
    </w:p>
    <w:p w:rsidR="005D7C3A" w:rsidRPr="004A1277" w:rsidRDefault="005D7C3A" w:rsidP="005D7C3A">
      <w:pPr>
        <w:pStyle w:val="Heading3"/>
        <w:rPr>
          <w:b/>
          <w:bCs/>
        </w:rPr>
      </w:pPr>
      <w:bookmarkStart w:id="1" w:name="_Toc60077251"/>
      <w:r>
        <w:t>To (NEW)</w:t>
      </w:r>
      <w:bookmarkEnd w:id="1"/>
    </w:p>
    <w:p w:rsidR="005D7C3A" w:rsidRPr="004A1277" w:rsidRDefault="005D7C3A" w:rsidP="005D7C3A">
      <w:pPr>
        <w:rPr>
          <w:rFonts w:cstheme="minorHAnsi"/>
          <w:b/>
          <w:bCs/>
          <w:sz w:val="20"/>
          <w:szCs w:val="20"/>
        </w:rPr>
      </w:pPr>
      <w:r w:rsidRPr="004A1277">
        <w:rPr>
          <w:rFonts w:cstheme="minorHAnsi"/>
          <w:b/>
          <w:bCs/>
          <w:sz w:val="20"/>
          <w:szCs w:val="20"/>
        </w:rPr>
        <w:t>P101 had as general use (was use of)</w:t>
      </w:r>
    </w:p>
    <w:p w:rsidR="005D7C3A" w:rsidRPr="004A1277" w:rsidRDefault="005D7C3A" w:rsidP="005D7C3A">
      <w:pPr>
        <w:spacing w:after="0"/>
        <w:rPr>
          <w:rFonts w:cstheme="minorHAnsi"/>
          <w:sz w:val="20"/>
          <w:szCs w:val="20"/>
        </w:rPr>
      </w:pPr>
      <w:r w:rsidRPr="004A1277">
        <w:rPr>
          <w:rFonts w:cstheme="minorHAnsi"/>
          <w:sz w:val="20"/>
          <w:szCs w:val="20"/>
        </w:rPr>
        <w:t>Domain:</w:t>
      </w:r>
      <w:r w:rsidRPr="004A1277">
        <w:rPr>
          <w:rFonts w:cstheme="minorHAnsi"/>
          <w:sz w:val="20"/>
          <w:szCs w:val="20"/>
        </w:rPr>
        <w:tab/>
      </w:r>
      <w:r w:rsidRPr="004A1277">
        <w:rPr>
          <w:rFonts w:cstheme="minorHAnsi"/>
          <w:sz w:val="20"/>
          <w:szCs w:val="20"/>
        </w:rPr>
        <w:tab/>
      </w:r>
      <w:hyperlink r:id="rId7" w:anchor="heading=h.4anzqyu" w:history="1">
        <w:r w:rsidRPr="004A1277">
          <w:rPr>
            <w:rStyle w:val="Hyperlink"/>
            <w:rFonts w:cstheme="minorHAnsi"/>
            <w:sz w:val="20"/>
            <w:szCs w:val="20"/>
          </w:rPr>
          <w:t>E70</w:t>
        </w:r>
      </w:hyperlink>
      <w:r w:rsidRPr="004A1277">
        <w:rPr>
          <w:rFonts w:cstheme="minorHAnsi"/>
          <w:sz w:val="20"/>
          <w:szCs w:val="20"/>
        </w:rPr>
        <w:t xml:space="preserve"> Thing</w:t>
      </w:r>
    </w:p>
    <w:p w:rsidR="005D7C3A" w:rsidRPr="004A1277" w:rsidRDefault="005D7C3A" w:rsidP="005D7C3A">
      <w:pPr>
        <w:spacing w:after="0"/>
        <w:rPr>
          <w:rFonts w:cstheme="minorHAnsi"/>
          <w:sz w:val="20"/>
          <w:szCs w:val="20"/>
        </w:rPr>
      </w:pPr>
      <w:r w:rsidRPr="004A1277">
        <w:rPr>
          <w:rFonts w:cstheme="minorHAnsi"/>
          <w:sz w:val="20"/>
          <w:szCs w:val="20"/>
        </w:rPr>
        <w:t>Range:</w:t>
      </w:r>
      <w:r w:rsidRPr="004A1277">
        <w:rPr>
          <w:rFonts w:cstheme="minorHAnsi"/>
          <w:sz w:val="20"/>
          <w:szCs w:val="20"/>
        </w:rPr>
        <w:tab/>
      </w:r>
      <w:r w:rsidRPr="004A1277">
        <w:rPr>
          <w:rFonts w:cstheme="minorHAnsi"/>
          <w:sz w:val="20"/>
          <w:szCs w:val="20"/>
        </w:rPr>
        <w:tab/>
      </w:r>
      <w:hyperlink r:id="rId8" w:anchor="heading=h.upglbi" w:history="1">
        <w:r w:rsidRPr="004A1277">
          <w:rPr>
            <w:rStyle w:val="Hyperlink"/>
            <w:rFonts w:cstheme="minorHAnsi"/>
            <w:sz w:val="20"/>
            <w:szCs w:val="20"/>
          </w:rPr>
          <w:t>E55</w:t>
        </w:r>
      </w:hyperlink>
      <w:r w:rsidRPr="004A1277">
        <w:rPr>
          <w:rFonts w:cstheme="minorHAnsi"/>
          <w:sz w:val="20"/>
          <w:szCs w:val="20"/>
        </w:rPr>
        <w:t xml:space="preserve"> Type</w:t>
      </w:r>
    </w:p>
    <w:p w:rsidR="005D7C3A" w:rsidRPr="004A1277" w:rsidRDefault="005D7C3A" w:rsidP="005D7C3A">
      <w:pPr>
        <w:rPr>
          <w:rFonts w:cstheme="minorHAnsi"/>
          <w:sz w:val="20"/>
          <w:szCs w:val="20"/>
        </w:rPr>
      </w:pPr>
      <w:r w:rsidRPr="004A1277">
        <w:rPr>
          <w:rFonts w:cstheme="minorHAnsi"/>
          <w:sz w:val="20"/>
          <w:szCs w:val="20"/>
        </w:rPr>
        <w:t>Quantification:</w:t>
      </w:r>
      <w:r w:rsidRPr="004A1277">
        <w:rPr>
          <w:rFonts w:cstheme="minorHAnsi"/>
          <w:sz w:val="20"/>
          <w:szCs w:val="20"/>
        </w:rPr>
        <w:tab/>
        <w:t>many to many (</w:t>
      </w:r>
      <w:proofErr w:type="gramStart"/>
      <w:r w:rsidRPr="004A1277">
        <w:rPr>
          <w:rFonts w:cstheme="minorHAnsi"/>
          <w:sz w:val="20"/>
          <w:szCs w:val="20"/>
        </w:rPr>
        <w:t>0,n</w:t>
      </w:r>
      <w:proofErr w:type="gramEnd"/>
      <w:r w:rsidRPr="004A1277">
        <w:rPr>
          <w:rFonts w:cstheme="minorHAnsi"/>
          <w:sz w:val="20"/>
          <w:szCs w:val="20"/>
        </w:rPr>
        <w:t>:0,n)</w:t>
      </w:r>
    </w:p>
    <w:p w:rsidR="005D7C3A" w:rsidRPr="004A1277" w:rsidRDefault="005D7C3A" w:rsidP="005D7C3A">
      <w:pPr>
        <w:ind w:left="1440" w:hanging="1440"/>
        <w:rPr>
          <w:rFonts w:cstheme="minorHAnsi"/>
          <w:sz w:val="20"/>
          <w:szCs w:val="20"/>
        </w:rPr>
      </w:pPr>
      <w:r w:rsidRPr="004A1277">
        <w:rPr>
          <w:rFonts w:cstheme="minorHAnsi"/>
          <w:sz w:val="20"/>
          <w:szCs w:val="20"/>
        </w:rPr>
        <w:t>Scope note:</w:t>
      </w:r>
      <w:r w:rsidRPr="004A1277">
        <w:rPr>
          <w:rFonts w:cstheme="minorHAnsi"/>
          <w:sz w:val="20"/>
          <w:szCs w:val="20"/>
        </w:rPr>
        <w:tab/>
        <w:t>This property associates an instance of E70 Thing with an instance of E55 Type that describes the type of use that it was actually employed for.</w:t>
      </w:r>
    </w:p>
    <w:p w:rsidR="005D7C3A" w:rsidRPr="004A1277" w:rsidRDefault="005D7C3A" w:rsidP="005D7C3A">
      <w:pPr>
        <w:ind w:left="1440"/>
        <w:rPr>
          <w:rFonts w:cstheme="minorHAnsi"/>
          <w:sz w:val="20"/>
          <w:szCs w:val="20"/>
        </w:rPr>
      </w:pPr>
      <w:r w:rsidRPr="004A1277">
        <w:rPr>
          <w:rFonts w:cstheme="minorHAnsi"/>
          <w:sz w:val="20"/>
          <w:szCs w:val="20"/>
        </w:rPr>
        <w:t xml:space="preserve">It allows the relationship between particular things, both physical and immaterial, and the general methods and techniques of real use to be documented. This may well be different from the intended functional purpose of the instance of E70 Thing (which can be documented with </w:t>
      </w:r>
      <w:r w:rsidRPr="004A1277">
        <w:rPr>
          <w:rFonts w:cstheme="minorHAnsi"/>
          <w:i/>
          <w:iCs/>
          <w:sz w:val="20"/>
          <w:szCs w:val="20"/>
        </w:rPr>
        <w:t>P103 was intended for (was intention of)</w:t>
      </w:r>
      <w:r w:rsidRPr="004A1277">
        <w:rPr>
          <w:rFonts w:cstheme="minorHAnsi"/>
          <w:sz w:val="20"/>
          <w:szCs w:val="20"/>
        </w:rPr>
        <w:t>). For example, it could be recorded that a particular wooden crate had a general use as a shelf support on a market stall even though it had been originally intended for carrying vegetables.</w:t>
      </w:r>
    </w:p>
    <w:p w:rsidR="005D7C3A" w:rsidRPr="004A1277" w:rsidRDefault="005D7C3A" w:rsidP="005D7C3A">
      <w:pPr>
        <w:ind w:left="1440"/>
        <w:rPr>
          <w:rFonts w:cstheme="minorHAnsi"/>
          <w:sz w:val="20"/>
          <w:szCs w:val="20"/>
        </w:rPr>
      </w:pPr>
      <w:r w:rsidRPr="004A1277">
        <w:rPr>
          <w:rFonts w:cstheme="minorHAnsi"/>
          <w:sz w:val="20"/>
          <w:szCs w:val="20"/>
        </w:rPr>
        <w:t>The use of this property is intended to allow the documentation of usage patterns attested in historical records or through scientific investigation (for instance ceramic residue analysis). It should not be used to document the intended, and thus assumed, use of an object.</w:t>
      </w:r>
    </w:p>
    <w:p w:rsidR="005D7C3A" w:rsidRPr="004A1277" w:rsidRDefault="005D7C3A" w:rsidP="005D7C3A">
      <w:pPr>
        <w:spacing w:after="0"/>
        <w:rPr>
          <w:rFonts w:cstheme="minorHAnsi"/>
          <w:sz w:val="20"/>
          <w:szCs w:val="20"/>
        </w:rPr>
      </w:pPr>
      <w:r w:rsidRPr="004A1277">
        <w:rPr>
          <w:rFonts w:cstheme="minorHAnsi"/>
          <w:sz w:val="20"/>
          <w:szCs w:val="20"/>
        </w:rPr>
        <w:t>Examples:</w:t>
      </w:r>
      <w:r w:rsidRPr="004A1277">
        <w:rPr>
          <w:rFonts w:cstheme="minorHAnsi"/>
          <w:sz w:val="20"/>
          <w:szCs w:val="20"/>
        </w:rPr>
        <w:tab/>
      </w:r>
    </w:p>
    <w:p w:rsidR="005D7C3A" w:rsidRPr="004A1277" w:rsidRDefault="005D7C3A" w:rsidP="005D7C3A">
      <w:pPr>
        <w:numPr>
          <w:ilvl w:val="0"/>
          <w:numId w:val="2"/>
        </w:numPr>
        <w:spacing w:after="0"/>
        <w:rPr>
          <w:rFonts w:cstheme="minorHAnsi"/>
          <w:sz w:val="20"/>
          <w:szCs w:val="20"/>
        </w:rPr>
      </w:pPr>
      <w:r w:rsidRPr="004A1277">
        <w:rPr>
          <w:rFonts w:cstheme="minorHAnsi"/>
          <w:sz w:val="20"/>
          <w:szCs w:val="20"/>
        </w:rPr>
        <w:t xml:space="preserve">Tony Gill’s Ford Mustang (E22) </w:t>
      </w:r>
      <w:r w:rsidRPr="004A1277">
        <w:rPr>
          <w:rFonts w:cstheme="minorHAnsi"/>
          <w:i/>
          <w:iCs/>
          <w:sz w:val="20"/>
          <w:szCs w:val="20"/>
        </w:rPr>
        <w:t>had as general use</w:t>
      </w:r>
      <w:r w:rsidRPr="004A1277">
        <w:rPr>
          <w:rFonts w:cstheme="minorHAnsi"/>
          <w:sz w:val="20"/>
          <w:szCs w:val="20"/>
        </w:rPr>
        <w:t xml:space="preserve"> transportation (E55)</w:t>
      </w:r>
    </w:p>
    <w:p w:rsidR="005D7C3A" w:rsidRPr="004A1277" w:rsidRDefault="005D7C3A" w:rsidP="005D7C3A">
      <w:pPr>
        <w:numPr>
          <w:ilvl w:val="0"/>
          <w:numId w:val="2"/>
        </w:numPr>
        <w:rPr>
          <w:rFonts w:cstheme="minorHAnsi"/>
          <w:sz w:val="20"/>
          <w:szCs w:val="20"/>
        </w:rPr>
      </w:pPr>
      <w:r w:rsidRPr="004A1277">
        <w:rPr>
          <w:rFonts w:cstheme="minorHAnsi"/>
          <w:sz w:val="20"/>
          <w:szCs w:val="20"/>
        </w:rPr>
        <w:lastRenderedPageBreak/>
        <w:t xml:space="preserve">Egyptian unglazed vessel analyzed used in the 2003 study (E22) </w:t>
      </w:r>
      <w:r w:rsidRPr="004A1277">
        <w:rPr>
          <w:rFonts w:cstheme="minorHAnsi"/>
          <w:i/>
          <w:iCs/>
          <w:sz w:val="20"/>
          <w:szCs w:val="20"/>
        </w:rPr>
        <w:t>had as general use</w:t>
      </w:r>
      <w:r w:rsidRPr="004A1277">
        <w:rPr>
          <w:rFonts w:cstheme="minorHAnsi"/>
          <w:sz w:val="20"/>
          <w:szCs w:val="20"/>
        </w:rPr>
        <w:t xml:space="preserve"> camel milk preparation (E55) (Barnard et al 2007)</w:t>
      </w:r>
    </w:p>
    <w:p w:rsidR="005D7C3A" w:rsidRPr="004D6728" w:rsidRDefault="005D7C3A" w:rsidP="005D7C3A">
      <w:pPr>
        <w:spacing w:after="0"/>
        <w:rPr>
          <w:rFonts w:cstheme="minorHAnsi"/>
          <w:sz w:val="20"/>
          <w:szCs w:val="20"/>
        </w:rPr>
      </w:pPr>
      <w:r w:rsidRPr="004D6728">
        <w:rPr>
          <w:rFonts w:cstheme="minorHAnsi"/>
          <w:sz w:val="20"/>
          <w:szCs w:val="20"/>
        </w:rPr>
        <w:t>In First Order Logic:</w:t>
      </w:r>
    </w:p>
    <w:p w:rsidR="005D7C3A" w:rsidRPr="004D6728" w:rsidRDefault="005D7C3A" w:rsidP="005D7C3A">
      <w:pPr>
        <w:spacing w:after="0"/>
        <w:rPr>
          <w:rFonts w:cstheme="minorHAnsi"/>
          <w:sz w:val="20"/>
          <w:szCs w:val="20"/>
        </w:rPr>
      </w:pPr>
      <w:r w:rsidRPr="004D6728">
        <w:rPr>
          <w:rFonts w:cstheme="minorHAnsi"/>
          <w:sz w:val="20"/>
          <w:szCs w:val="20"/>
        </w:rPr>
        <w:tab/>
      </w:r>
      <w:r w:rsidRPr="004D6728">
        <w:rPr>
          <w:rFonts w:cstheme="minorHAnsi"/>
          <w:sz w:val="20"/>
          <w:szCs w:val="20"/>
        </w:rPr>
        <w:tab/>
        <w:t>P101(</w:t>
      </w:r>
      <w:proofErr w:type="gramStart"/>
      <w:r w:rsidRPr="004D6728">
        <w:rPr>
          <w:rFonts w:cstheme="minorHAnsi"/>
          <w:sz w:val="20"/>
          <w:szCs w:val="20"/>
        </w:rPr>
        <w:t>x,y</w:t>
      </w:r>
      <w:proofErr w:type="gramEnd"/>
      <w:r w:rsidRPr="004D6728">
        <w:rPr>
          <w:rFonts w:cstheme="minorHAnsi"/>
          <w:sz w:val="20"/>
          <w:szCs w:val="20"/>
        </w:rPr>
        <w:t xml:space="preserve">) </w:t>
      </w:r>
      <w:r w:rsidRPr="004D6728">
        <w:rPr>
          <w:rFonts w:ascii="Cambria Math" w:hAnsi="Cambria Math" w:cs="Cambria Math"/>
          <w:sz w:val="20"/>
          <w:szCs w:val="20"/>
        </w:rPr>
        <w:t>⊃</w:t>
      </w:r>
      <w:r w:rsidRPr="004D6728">
        <w:rPr>
          <w:rFonts w:cstheme="minorHAnsi"/>
          <w:sz w:val="20"/>
          <w:szCs w:val="20"/>
        </w:rPr>
        <w:t xml:space="preserve"> E70(x)</w:t>
      </w:r>
    </w:p>
    <w:p w:rsidR="005D7C3A" w:rsidRPr="004A1277" w:rsidRDefault="005D7C3A" w:rsidP="005D7C3A">
      <w:pPr>
        <w:spacing w:after="0"/>
        <w:rPr>
          <w:rFonts w:cstheme="minorHAnsi"/>
          <w:sz w:val="20"/>
          <w:szCs w:val="20"/>
          <w:lang w:val="es-ES"/>
        </w:rPr>
      </w:pPr>
      <w:r w:rsidRPr="004D6728">
        <w:rPr>
          <w:rFonts w:cstheme="minorHAnsi"/>
          <w:sz w:val="20"/>
          <w:szCs w:val="20"/>
        </w:rPr>
        <w:tab/>
      </w:r>
      <w:r w:rsidRPr="004D6728">
        <w:rPr>
          <w:rFonts w:cstheme="minorHAnsi"/>
          <w:sz w:val="20"/>
          <w:szCs w:val="20"/>
        </w:rPr>
        <w:tab/>
      </w:r>
      <w:r w:rsidRPr="004A1277">
        <w:rPr>
          <w:rFonts w:cstheme="minorHAnsi"/>
          <w:sz w:val="20"/>
          <w:szCs w:val="20"/>
          <w:lang w:val="es-ES"/>
        </w:rPr>
        <w:t>P101(</w:t>
      </w:r>
      <w:proofErr w:type="gramStart"/>
      <w:r w:rsidRPr="004A1277">
        <w:rPr>
          <w:rFonts w:cstheme="minorHAnsi"/>
          <w:sz w:val="20"/>
          <w:szCs w:val="20"/>
          <w:lang w:val="es-ES"/>
        </w:rPr>
        <w:t>x,y</w:t>
      </w:r>
      <w:proofErr w:type="gramEnd"/>
      <w:r w:rsidRPr="004A1277">
        <w:rPr>
          <w:rFonts w:cstheme="minorHAnsi"/>
          <w:sz w:val="20"/>
          <w:szCs w:val="20"/>
          <w:lang w:val="es-ES"/>
        </w:rPr>
        <w:t xml:space="preserve">) </w:t>
      </w:r>
      <w:r w:rsidRPr="004A1277">
        <w:rPr>
          <w:rFonts w:ascii="Cambria Math" w:hAnsi="Cambria Math" w:cs="Cambria Math"/>
          <w:sz w:val="20"/>
          <w:szCs w:val="20"/>
          <w:lang w:val="es-ES"/>
        </w:rPr>
        <w:t>⊃</w:t>
      </w:r>
      <w:r w:rsidRPr="004A1277">
        <w:rPr>
          <w:rFonts w:cstheme="minorHAnsi"/>
          <w:sz w:val="20"/>
          <w:szCs w:val="20"/>
          <w:lang w:val="es-ES"/>
        </w:rPr>
        <w:t xml:space="preserve"> E55(y) </w:t>
      </w:r>
    </w:p>
    <w:p w:rsidR="005D7C3A" w:rsidRPr="004A1277" w:rsidRDefault="005D7C3A" w:rsidP="005D7C3A">
      <w:pPr>
        <w:ind w:left="720" w:firstLine="720"/>
        <w:rPr>
          <w:rFonts w:cstheme="minorHAnsi"/>
          <w:sz w:val="20"/>
          <w:szCs w:val="20"/>
          <w:lang w:val="es-ES"/>
        </w:rPr>
      </w:pPr>
      <w:r w:rsidRPr="004A1277">
        <w:rPr>
          <w:rFonts w:cstheme="minorHAnsi"/>
          <w:sz w:val="20"/>
          <w:szCs w:val="20"/>
          <w:lang w:val="es-ES"/>
        </w:rPr>
        <w:t>P101(</w:t>
      </w:r>
      <w:proofErr w:type="gramStart"/>
      <w:r w:rsidRPr="004A1277">
        <w:rPr>
          <w:rFonts w:cstheme="minorHAnsi"/>
          <w:sz w:val="20"/>
          <w:szCs w:val="20"/>
          <w:lang w:val="es-ES"/>
        </w:rPr>
        <w:t>x,y</w:t>
      </w:r>
      <w:proofErr w:type="gramEnd"/>
      <w:r w:rsidRPr="004A1277">
        <w:rPr>
          <w:rFonts w:cstheme="minorHAnsi"/>
          <w:sz w:val="20"/>
          <w:szCs w:val="20"/>
          <w:lang w:val="es-ES"/>
        </w:rPr>
        <w:t xml:space="preserve">) </w:t>
      </w:r>
      <w:r w:rsidRPr="004A1277">
        <w:rPr>
          <w:rFonts w:ascii="Cambria Math" w:hAnsi="Cambria Math" w:cs="Cambria Math"/>
          <w:sz w:val="20"/>
          <w:szCs w:val="20"/>
          <w:lang w:val="es-ES"/>
        </w:rPr>
        <w:t>⊃</w:t>
      </w:r>
      <w:r w:rsidRPr="004A1277">
        <w:rPr>
          <w:rFonts w:cstheme="minorHAnsi"/>
          <w:sz w:val="20"/>
          <w:szCs w:val="20"/>
          <w:lang w:val="es-ES"/>
        </w:rPr>
        <w:t xml:space="preserve"> (</w:t>
      </w:r>
      <w:r w:rsidRPr="004A1277">
        <w:rPr>
          <w:rFonts w:ascii="Cambria Math" w:hAnsi="Cambria Math" w:cs="Cambria Math"/>
          <w:sz w:val="20"/>
          <w:szCs w:val="20"/>
          <w:lang w:val="es-ES"/>
        </w:rPr>
        <w:t>∃</w:t>
      </w:r>
      <w:r w:rsidRPr="004A1277">
        <w:rPr>
          <w:rFonts w:cstheme="minorHAnsi"/>
          <w:sz w:val="20"/>
          <w:szCs w:val="20"/>
          <w:lang w:val="es-ES"/>
        </w:rPr>
        <w:t xml:space="preserve">z)[E7(z) </w:t>
      </w:r>
      <w:r w:rsidRPr="004A1277">
        <w:rPr>
          <w:rFonts w:ascii="Cambria Math" w:hAnsi="Cambria Math" w:cs="Cambria Math"/>
          <w:sz w:val="20"/>
          <w:szCs w:val="20"/>
          <w:lang w:val="es-ES"/>
        </w:rPr>
        <w:t>∧</w:t>
      </w:r>
      <w:r w:rsidRPr="004A1277">
        <w:rPr>
          <w:rFonts w:cstheme="minorHAnsi"/>
          <w:sz w:val="20"/>
          <w:szCs w:val="20"/>
          <w:lang w:val="es-ES"/>
        </w:rPr>
        <w:t xml:space="preserve"> P16(z,x) </w:t>
      </w:r>
      <w:r w:rsidRPr="004A1277">
        <w:rPr>
          <w:rFonts w:ascii="Cambria Math" w:hAnsi="Cambria Math" w:cs="Cambria Math"/>
          <w:sz w:val="20"/>
          <w:szCs w:val="20"/>
          <w:lang w:val="es-ES"/>
        </w:rPr>
        <w:t>∧</w:t>
      </w:r>
      <w:r w:rsidRPr="004A1277">
        <w:rPr>
          <w:rFonts w:cstheme="minorHAnsi"/>
          <w:sz w:val="20"/>
          <w:szCs w:val="20"/>
          <w:lang w:val="es-ES"/>
        </w:rPr>
        <w:t>P2(z,y)]</w:t>
      </w:r>
    </w:p>
    <w:p w:rsidR="005D7C3A" w:rsidRPr="004A1277" w:rsidRDefault="005D7C3A" w:rsidP="005D7C3A">
      <w:pPr>
        <w:rPr>
          <w:lang w:val="es-ES"/>
        </w:rPr>
      </w:pPr>
    </w:p>
    <w:p w:rsidR="005D7C3A" w:rsidRPr="004A1277" w:rsidRDefault="005D7C3A" w:rsidP="005D7C3A">
      <w:pPr>
        <w:rPr>
          <w:lang w:val="es-ES"/>
        </w:rPr>
      </w:pPr>
      <w:r w:rsidRPr="004A1277">
        <w:rPr>
          <w:u w:val="single"/>
          <w:lang w:val="es-ES"/>
        </w:rPr>
        <w:t>Work cited</w:t>
      </w:r>
    </w:p>
    <w:p w:rsidR="005D7C3A" w:rsidRPr="004A1277" w:rsidRDefault="005D7C3A" w:rsidP="005D7C3A">
      <w:r w:rsidRPr="004A1277">
        <w:rPr>
          <w:lang w:val="es-ES"/>
        </w:rPr>
        <w:t xml:space="preserve">Barnard, H., Ambrose, S.H., Beehr, D.E., Forster, M.D., Lanehart, R.E., Malainey, M.E., Parr, R.E., Rider, M., Solazzo, C. and Yohe, R.M. (2007). </w:t>
      </w:r>
      <w:r w:rsidRPr="004A1277">
        <w:t>Mixed results of seven methods for organic residue analysis applied to one vessel with the residue of a known foodstuff. </w:t>
      </w:r>
      <w:r w:rsidRPr="004A1277">
        <w:rPr>
          <w:i/>
          <w:iCs/>
        </w:rPr>
        <w:t>Journal of Archaeological Science</w:t>
      </w:r>
      <w:r w:rsidRPr="004A1277">
        <w:t>, 34(1), pp.28–37.</w:t>
      </w:r>
    </w:p>
    <w:p w:rsidR="006C16C1" w:rsidRDefault="005D7C3A">
      <w:bookmarkStart w:id="2" w:name="_GoBack"/>
      <w:bookmarkEnd w:id="2"/>
    </w:p>
    <w:sectPr w:rsidR="006C1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7B1F"/>
    <w:multiLevelType w:val="multilevel"/>
    <w:tmpl w:val="3010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CE4DD0"/>
    <w:multiLevelType w:val="multilevel"/>
    <w:tmpl w:val="EEE6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7A"/>
    <w:rsid w:val="002C79A6"/>
    <w:rsid w:val="005D7C3A"/>
    <w:rsid w:val="008F1E7A"/>
    <w:rsid w:val="00901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E2DF3-3AED-446B-A887-7B11B9A02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C3A"/>
  </w:style>
  <w:style w:type="paragraph" w:styleId="Heading2">
    <w:name w:val="heading 2"/>
    <w:basedOn w:val="Normal"/>
    <w:next w:val="Normal"/>
    <w:link w:val="Heading2Char"/>
    <w:uiPriority w:val="9"/>
    <w:unhideWhenUsed/>
    <w:qFormat/>
    <w:rsid w:val="005D7C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D7C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7C3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D7C3A"/>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5D7C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lf1llX_-hkggIomByDBxGaUMZlVTq2Vs/edit" TargetMode="External"/><Relationship Id="rId3" Type="http://schemas.openxmlformats.org/officeDocument/2006/relationships/settings" Target="settings.xml"/><Relationship Id="rId7" Type="http://schemas.openxmlformats.org/officeDocument/2006/relationships/hyperlink" Target="https://docs.google.com/document/d/1lf1llX_-hkggIomByDBxGaUMZlVTq2Vs/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lf1llX_-hkggIomByDBxGaUMZlVTq2Vs/edit" TargetMode="External"/><Relationship Id="rId5" Type="http://schemas.openxmlformats.org/officeDocument/2006/relationships/hyperlink" Target="https://docs.google.com/document/d/1lf1llX_-hkggIomByDBxGaUMZlVTq2Vs/ed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2595</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Bekiari Xrysoula</dc:creator>
  <cp:keywords/>
  <dc:description/>
  <cp:lastModifiedBy>Bekiari Xrysoula</cp:lastModifiedBy>
  <cp:revision>2</cp:revision>
  <dcterms:created xsi:type="dcterms:W3CDTF">2021-01-07T13:24:00Z</dcterms:created>
  <dcterms:modified xsi:type="dcterms:W3CDTF">2021-01-07T13:24:00Z</dcterms:modified>
</cp:coreProperties>
</file>