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B5" w:rsidRDefault="006F6AB5" w:rsidP="006F6AB5">
      <w:pPr>
        <w:pStyle w:val="Heading2"/>
      </w:pPr>
      <w:bookmarkStart w:id="0" w:name="_Toc46491414"/>
      <w:r>
        <w:t xml:space="preserve">Issue 475 –HW by RS: </w:t>
      </w:r>
      <w:r w:rsidRPr="00CD60BD">
        <w:t>New scope note for E10 Transfer of Custody</w:t>
      </w:r>
      <w:bookmarkStart w:id="1" w:name="_GoBack"/>
      <w:bookmarkEnd w:id="0"/>
      <w:bookmarkEnd w:id="1"/>
    </w:p>
    <w:p w:rsidR="006F6AB5" w:rsidRPr="00CD60BD" w:rsidRDefault="006F6AB5" w:rsidP="006F6AB5">
      <w:r>
        <w:t xml:space="preserve">Changes marked in </w:t>
      </w:r>
      <w:r w:rsidRPr="00CD60BD">
        <w:rPr>
          <w:b/>
          <w:bCs/>
          <w:color w:val="12018D"/>
          <w:sz w:val="20"/>
          <w:szCs w:val="20"/>
        </w:rPr>
        <w:t>blue</w:t>
      </w:r>
    </w:p>
    <w:p w:rsidR="006F6AB5" w:rsidRDefault="006F6AB5" w:rsidP="006F6AB5">
      <w:pPr>
        <w:pStyle w:val="Heading3"/>
      </w:pPr>
      <w:bookmarkStart w:id="2" w:name="_Toc46491415"/>
      <w:r>
        <w:t>OLD scope note</w:t>
      </w:r>
      <w:bookmarkEnd w:id="2"/>
    </w:p>
    <w:p w:rsidR="006F6AB5" w:rsidRPr="00CD60BD" w:rsidRDefault="006F6AB5" w:rsidP="006F6AB5">
      <w:pPr>
        <w:spacing w:after="0"/>
        <w:rPr>
          <w:b/>
          <w:bCs/>
          <w:sz w:val="20"/>
          <w:szCs w:val="20"/>
        </w:rPr>
      </w:pPr>
      <w:bookmarkStart w:id="3" w:name="_Hlk44607738"/>
      <w:r w:rsidRPr="00CD60BD">
        <w:rPr>
          <w:b/>
          <w:bCs/>
          <w:sz w:val="20"/>
          <w:szCs w:val="20"/>
        </w:rPr>
        <w:t xml:space="preserve">E10 Transfer of Custody </w:t>
      </w:r>
    </w:p>
    <w:p w:rsidR="006F6AB5" w:rsidRPr="00CD60BD" w:rsidRDefault="006F6AB5" w:rsidP="006F6AB5">
      <w:pPr>
        <w:rPr>
          <w:sz w:val="20"/>
          <w:szCs w:val="20"/>
        </w:rPr>
      </w:pPr>
      <w:r w:rsidRPr="00CD60BD">
        <w:rPr>
          <w:sz w:val="20"/>
          <w:szCs w:val="20"/>
        </w:rPr>
        <w:t xml:space="preserve">Subclass of: </w:t>
      </w:r>
      <w:r>
        <w:rPr>
          <w:sz w:val="20"/>
          <w:szCs w:val="20"/>
        </w:rPr>
        <w:tab/>
      </w:r>
      <w:r w:rsidRPr="00CD60BD">
        <w:rPr>
          <w:sz w:val="20"/>
          <w:szCs w:val="20"/>
        </w:rPr>
        <w:t xml:space="preserve">E7 Activity </w:t>
      </w:r>
    </w:p>
    <w:p w:rsidR="006F6AB5" w:rsidRPr="00CD60BD" w:rsidRDefault="006F6AB5" w:rsidP="006F6AB5">
      <w:pPr>
        <w:ind w:left="1440" w:hanging="1440"/>
        <w:rPr>
          <w:sz w:val="20"/>
          <w:szCs w:val="20"/>
        </w:rPr>
      </w:pPr>
      <w:r w:rsidRPr="00CD60BD">
        <w:rPr>
          <w:sz w:val="20"/>
          <w:szCs w:val="20"/>
        </w:rPr>
        <w:t xml:space="preserve">Scope note: </w:t>
      </w:r>
      <w:r>
        <w:rPr>
          <w:sz w:val="20"/>
          <w:szCs w:val="20"/>
        </w:rPr>
        <w:tab/>
      </w:r>
      <w:r w:rsidRPr="00CD60BD">
        <w:rPr>
          <w:sz w:val="20"/>
          <w:szCs w:val="20"/>
        </w:rPr>
        <w:t xml:space="preserve">This class comprises transfers of physical custody of objects between instances of E39 Actor. The recording of the donor and/or recipient is optional. It is possible that in an instance of E10 Transfer of Custody there is either no donor or no recipient. Depending on the circumstances it may describe: </w:t>
      </w:r>
    </w:p>
    <w:p w:rsidR="006F6AB5" w:rsidRPr="00CD60BD" w:rsidRDefault="006F6AB5" w:rsidP="006F6AB5">
      <w:pPr>
        <w:spacing w:after="0"/>
        <w:ind w:left="1440"/>
        <w:rPr>
          <w:sz w:val="20"/>
          <w:szCs w:val="20"/>
        </w:rPr>
      </w:pPr>
      <w:r w:rsidRPr="00CD60BD">
        <w:rPr>
          <w:sz w:val="20"/>
          <w:szCs w:val="20"/>
        </w:rPr>
        <w:t xml:space="preserve">1. the beginning of custody </w:t>
      </w:r>
    </w:p>
    <w:p w:rsidR="006F6AB5" w:rsidRPr="00CD60BD" w:rsidRDefault="006F6AB5" w:rsidP="006F6AB5">
      <w:pPr>
        <w:spacing w:after="0"/>
        <w:ind w:left="1440"/>
        <w:rPr>
          <w:sz w:val="20"/>
          <w:szCs w:val="20"/>
        </w:rPr>
      </w:pPr>
      <w:r w:rsidRPr="00CD60BD">
        <w:rPr>
          <w:sz w:val="20"/>
          <w:szCs w:val="20"/>
        </w:rPr>
        <w:t xml:space="preserve">2. the end of custody </w:t>
      </w:r>
    </w:p>
    <w:p w:rsidR="006F6AB5" w:rsidRPr="00CD60BD" w:rsidRDefault="006F6AB5" w:rsidP="006F6AB5">
      <w:pPr>
        <w:spacing w:after="0"/>
        <w:ind w:left="1440"/>
        <w:rPr>
          <w:sz w:val="20"/>
          <w:szCs w:val="20"/>
        </w:rPr>
      </w:pPr>
      <w:r w:rsidRPr="00CD60BD">
        <w:rPr>
          <w:sz w:val="20"/>
          <w:szCs w:val="20"/>
        </w:rPr>
        <w:t xml:space="preserve">3. the transfer of custody </w:t>
      </w:r>
    </w:p>
    <w:p w:rsidR="006F6AB5" w:rsidRPr="00CD60BD" w:rsidRDefault="006F6AB5" w:rsidP="006F6AB5">
      <w:pPr>
        <w:spacing w:after="0"/>
        <w:ind w:left="1440"/>
        <w:rPr>
          <w:sz w:val="20"/>
          <w:szCs w:val="20"/>
        </w:rPr>
      </w:pPr>
      <w:r w:rsidRPr="00CD60BD">
        <w:rPr>
          <w:sz w:val="20"/>
          <w:szCs w:val="20"/>
        </w:rPr>
        <w:t xml:space="preserve">4. the receipt of custody from an unknown source </w:t>
      </w:r>
    </w:p>
    <w:p w:rsidR="006F6AB5" w:rsidRPr="00CD60BD" w:rsidRDefault="006F6AB5" w:rsidP="006F6AB5">
      <w:pPr>
        <w:ind w:left="1440"/>
        <w:rPr>
          <w:sz w:val="20"/>
          <w:szCs w:val="20"/>
        </w:rPr>
      </w:pPr>
      <w:r w:rsidRPr="00CD60BD">
        <w:rPr>
          <w:sz w:val="20"/>
          <w:szCs w:val="20"/>
        </w:rPr>
        <w:t xml:space="preserve">5. the declared loss of an object </w:t>
      </w:r>
    </w:p>
    <w:p w:rsidR="006F6AB5" w:rsidRPr="00CD60BD" w:rsidRDefault="006F6AB5" w:rsidP="006F6AB5">
      <w:pPr>
        <w:ind w:left="1440"/>
        <w:rPr>
          <w:sz w:val="20"/>
          <w:szCs w:val="20"/>
        </w:rPr>
      </w:pPr>
      <w:r w:rsidRPr="00CD60BD">
        <w:rPr>
          <w:sz w:val="20"/>
          <w:szCs w:val="20"/>
        </w:rPr>
        <w:t xml:space="preserve">The distinction between the legal responsibility for custody and the actual physical possession of the object should be expressed using the property P2 has type (is type of). A specific case of transfer of custody is theft. The sense of physical possession requires that the object of custody is in the hands of the keeper at least with a part representative for the whole. The way, in which a representative part is defined, should ensure that it is unambiguous who keeps a part and who the whole and should be consistent with the identity criteria of the kept instance of E18 Physical Thing. For instance, in the case of a set of cutlery we may require the majority of pieces having been in the hands of the actor regardless which individual pieces are kept over time. </w:t>
      </w:r>
    </w:p>
    <w:p w:rsidR="006F6AB5" w:rsidRPr="00CD60BD" w:rsidRDefault="006F6AB5" w:rsidP="006F6AB5">
      <w:pPr>
        <w:ind w:left="1440"/>
        <w:rPr>
          <w:sz w:val="20"/>
          <w:szCs w:val="20"/>
        </w:rPr>
      </w:pPr>
      <w:r w:rsidRPr="00CD60BD">
        <w:rPr>
          <w:sz w:val="20"/>
          <w:szCs w:val="20"/>
        </w:rPr>
        <w:t xml:space="preserve">The interpretation of the museum notion of "accession" differs between institutions. The CIDOC CRM therefore models legal ownership and physical custody separately. Institutions will then model their specific notions of accession and deaccession as combinations of these. </w:t>
      </w:r>
    </w:p>
    <w:p w:rsidR="006F6AB5" w:rsidRPr="00CD60BD" w:rsidRDefault="006F6AB5" w:rsidP="006F6AB5">
      <w:pPr>
        <w:spacing w:after="0"/>
        <w:rPr>
          <w:sz w:val="20"/>
          <w:szCs w:val="20"/>
        </w:rPr>
      </w:pPr>
      <w:r w:rsidRPr="00CD60BD">
        <w:rPr>
          <w:sz w:val="20"/>
          <w:szCs w:val="20"/>
        </w:rPr>
        <w:t xml:space="preserve">Examples:  </w:t>
      </w:r>
    </w:p>
    <w:p w:rsidR="006F6AB5" w:rsidRPr="00CD60BD" w:rsidRDefault="006F6AB5" w:rsidP="006F6AB5">
      <w:pPr>
        <w:pStyle w:val="ListParagraph"/>
        <w:numPr>
          <w:ilvl w:val="0"/>
          <w:numId w:val="1"/>
        </w:numPr>
        <w:ind w:left="1440" w:hanging="450"/>
        <w:rPr>
          <w:sz w:val="20"/>
          <w:szCs w:val="20"/>
        </w:rPr>
      </w:pPr>
      <w:r w:rsidRPr="00CD60BD">
        <w:rPr>
          <w:sz w:val="20"/>
          <w:szCs w:val="20"/>
        </w:rPr>
        <w:t>the delivery of the paintings by Secure Deliveries Inc. to the National Gallery the return of Picasso’s “Guernica” to Madrid’s Prado in 1981 (</w:t>
      </w:r>
      <w:proofErr w:type="spellStart"/>
      <w:r w:rsidRPr="00CD60BD">
        <w:rPr>
          <w:sz w:val="20"/>
          <w:szCs w:val="20"/>
        </w:rPr>
        <w:t>Chipp</w:t>
      </w:r>
      <w:proofErr w:type="spellEnd"/>
      <w:r w:rsidRPr="00CD60BD">
        <w:rPr>
          <w:sz w:val="20"/>
          <w:szCs w:val="20"/>
        </w:rPr>
        <w:t xml:space="preserve">, 1988) </w:t>
      </w:r>
    </w:p>
    <w:p w:rsidR="006F6AB5" w:rsidRDefault="006F6AB5" w:rsidP="006F6AB5">
      <w:pPr>
        <w:spacing w:after="0"/>
        <w:rPr>
          <w:sz w:val="20"/>
          <w:szCs w:val="20"/>
        </w:rPr>
      </w:pPr>
      <w:r w:rsidRPr="00CD60BD">
        <w:rPr>
          <w:sz w:val="20"/>
          <w:szCs w:val="20"/>
        </w:rPr>
        <w:t xml:space="preserve">In First Order Logic: </w:t>
      </w:r>
    </w:p>
    <w:p w:rsidR="006F6AB5" w:rsidRPr="00CD60BD" w:rsidRDefault="006F6AB5" w:rsidP="006F6AB5">
      <w:pPr>
        <w:ind w:left="720" w:firstLine="720"/>
        <w:rPr>
          <w:sz w:val="20"/>
          <w:szCs w:val="20"/>
        </w:rPr>
      </w:pPr>
      <w:r w:rsidRPr="00CD60BD">
        <w:rPr>
          <w:sz w:val="20"/>
          <w:szCs w:val="20"/>
        </w:rPr>
        <w:t xml:space="preserve">E10(x) </w:t>
      </w:r>
      <w:r w:rsidRPr="00CD60BD">
        <w:rPr>
          <w:rFonts w:ascii="Cambria Math" w:hAnsi="Cambria Math" w:cs="Cambria Math"/>
          <w:sz w:val="20"/>
          <w:szCs w:val="20"/>
        </w:rPr>
        <w:t>⊃</w:t>
      </w:r>
      <w:r w:rsidRPr="00CD60BD">
        <w:rPr>
          <w:sz w:val="20"/>
          <w:szCs w:val="20"/>
        </w:rPr>
        <w:t xml:space="preserve"> E7(x) </w:t>
      </w:r>
    </w:p>
    <w:p w:rsidR="006F6AB5" w:rsidRPr="00CD60BD" w:rsidRDefault="006F6AB5" w:rsidP="006F6AB5">
      <w:pPr>
        <w:spacing w:after="0"/>
        <w:rPr>
          <w:sz w:val="20"/>
          <w:szCs w:val="20"/>
        </w:rPr>
      </w:pPr>
      <w:r w:rsidRPr="00CD60BD">
        <w:rPr>
          <w:sz w:val="20"/>
          <w:szCs w:val="20"/>
        </w:rPr>
        <w:t xml:space="preserve">Properties: </w:t>
      </w:r>
    </w:p>
    <w:p w:rsidR="006F6AB5" w:rsidRPr="00CD60BD" w:rsidRDefault="006F6AB5" w:rsidP="006F6AB5">
      <w:pPr>
        <w:spacing w:after="0"/>
        <w:ind w:left="1440"/>
        <w:rPr>
          <w:sz w:val="20"/>
          <w:szCs w:val="20"/>
        </w:rPr>
      </w:pPr>
      <w:r w:rsidRPr="00CD60BD">
        <w:rPr>
          <w:sz w:val="20"/>
          <w:szCs w:val="20"/>
        </w:rPr>
        <w:t xml:space="preserve">P28 custody surrendered by (surrendered custody through): E39 Actor </w:t>
      </w:r>
    </w:p>
    <w:p w:rsidR="006F6AB5" w:rsidRPr="00CD60BD" w:rsidRDefault="006F6AB5" w:rsidP="006F6AB5">
      <w:pPr>
        <w:spacing w:after="0"/>
        <w:ind w:left="1440"/>
        <w:rPr>
          <w:sz w:val="20"/>
          <w:szCs w:val="20"/>
        </w:rPr>
      </w:pPr>
      <w:r w:rsidRPr="00CD60BD">
        <w:rPr>
          <w:sz w:val="20"/>
          <w:szCs w:val="20"/>
        </w:rPr>
        <w:t xml:space="preserve">P29 custody received by (received custody through): E39 Actor </w:t>
      </w:r>
    </w:p>
    <w:p w:rsidR="006F6AB5" w:rsidRDefault="006F6AB5" w:rsidP="006F6AB5">
      <w:pPr>
        <w:ind w:left="1440"/>
        <w:rPr>
          <w:sz w:val="20"/>
          <w:szCs w:val="20"/>
        </w:rPr>
      </w:pPr>
      <w:r w:rsidRPr="00CD60BD">
        <w:rPr>
          <w:sz w:val="20"/>
          <w:szCs w:val="20"/>
        </w:rPr>
        <w:t>P30 transferred custody of (custody transferred through): E18 Physical Thing</w:t>
      </w:r>
    </w:p>
    <w:p w:rsidR="006F6AB5" w:rsidRDefault="006F6AB5" w:rsidP="006F6AB5">
      <w:pPr>
        <w:pStyle w:val="Heading3"/>
      </w:pPr>
      <w:bookmarkStart w:id="4" w:name="_Toc46491416"/>
      <w:bookmarkEnd w:id="3"/>
      <w:r>
        <w:t>NEW scope note</w:t>
      </w:r>
      <w:bookmarkEnd w:id="4"/>
    </w:p>
    <w:p w:rsidR="006F6AB5" w:rsidRPr="00CD60BD" w:rsidRDefault="006F6AB5" w:rsidP="006F6AB5">
      <w:pPr>
        <w:spacing w:after="0"/>
        <w:rPr>
          <w:b/>
          <w:bCs/>
          <w:sz w:val="20"/>
          <w:szCs w:val="20"/>
        </w:rPr>
      </w:pPr>
      <w:r w:rsidRPr="00CD60BD">
        <w:rPr>
          <w:b/>
          <w:bCs/>
          <w:sz w:val="20"/>
          <w:szCs w:val="20"/>
        </w:rPr>
        <w:t xml:space="preserve">E10 Transfer of Custody </w:t>
      </w:r>
    </w:p>
    <w:p w:rsidR="006F6AB5" w:rsidRPr="00CD60BD" w:rsidRDefault="006F6AB5" w:rsidP="006F6AB5">
      <w:pPr>
        <w:rPr>
          <w:sz w:val="20"/>
          <w:szCs w:val="20"/>
        </w:rPr>
      </w:pPr>
      <w:r w:rsidRPr="00CD60BD">
        <w:rPr>
          <w:sz w:val="20"/>
          <w:szCs w:val="20"/>
        </w:rPr>
        <w:t xml:space="preserve">Subclass of: </w:t>
      </w:r>
      <w:r>
        <w:rPr>
          <w:sz w:val="20"/>
          <w:szCs w:val="20"/>
        </w:rPr>
        <w:tab/>
      </w:r>
      <w:r w:rsidRPr="00CD60BD">
        <w:rPr>
          <w:sz w:val="20"/>
          <w:szCs w:val="20"/>
        </w:rPr>
        <w:t xml:space="preserve">E7 Activity </w:t>
      </w:r>
    </w:p>
    <w:p w:rsidR="006F6AB5" w:rsidRPr="00CD60BD" w:rsidRDefault="006F6AB5" w:rsidP="006F6AB5">
      <w:pPr>
        <w:ind w:left="1440" w:hanging="1440"/>
        <w:rPr>
          <w:rFonts w:cstheme="minorHAnsi"/>
          <w:sz w:val="20"/>
          <w:szCs w:val="20"/>
        </w:rPr>
      </w:pPr>
      <w:r w:rsidRPr="00CD60BD">
        <w:rPr>
          <w:sz w:val="20"/>
          <w:szCs w:val="20"/>
        </w:rPr>
        <w:t xml:space="preserve">Scope note: </w:t>
      </w:r>
      <w:r>
        <w:rPr>
          <w:sz w:val="20"/>
          <w:szCs w:val="20"/>
        </w:rPr>
        <w:tab/>
      </w:r>
      <w:r w:rsidRPr="00CD60BD">
        <w:rPr>
          <w:color w:val="12018D"/>
          <w:sz w:val="20"/>
          <w:szCs w:val="20"/>
        </w:rPr>
        <w:t>This class comprises transfers of the physical custody, or the legal responsibility for the physical custody, of objects</w:t>
      </w:r>
      <w:r w:rsidRPr="00CD60BD">
        <w:rPr>
          <w:rFonts w:cstheme="minorHAnsi"/>
          <w:sz w:val="20"/>
          <w:szCs w:val="20"/>
        </w:rPr>
        <w:t xml:space="preserve">. The recording of the donor </w:t>
      </w:r>
      <w:r w:rsidRPr="00CD60BD">
        <w:rPr>
          <w:color w:val="12018D"/>
          <w:sz w:val="20"/>
          <w:szCs w:val="20"/>
        </w:rPr>
        <w:t>o</w:t>
      </w:r>
      <w:r w:rsidRPr="00CD60BD">
        <w:rPr>
          <w:rFonts w:cstheme="minorHAnsi"/>
          <w:sz w:val="20"/>
          <w:szCs w:val="20"/>
        </w:rPr>
        <w:t>r recipient is optional. It is possible that in an instance of E10 Transfer of Custody there is either no donor or no recipient. Depending on the circumstances it may describe: </w:t>
      </w:r>
    </w:p>
    <w:p w:rsidR="006F6AB5" w:rsidRPr="00CD60BD" w:rsidRDefault="006F6AB5" w:rsidP="006F6AB5">
      <w:pPr>
        <w:spacing w:after="0"/>
        <w:ind w:left="2880" w:hanging="1440"/>
        <w:rPr>
          <w:rFonts w:cstheme="minorHAnsi"/>
          <w:sz w:val="20"/>
          <w:szCs w:val="20"/>
        </w:rPr>
      </w:pPr>
      <w:r w:rsidRPr="00CD60BD">
        <w:rPr>
          <w:rFonts w:cstheme="minorHAnsi"/>
          <w:sz w:val="20"/>
          <w:szCs w:val="20"/>
        </w:rPr>
        <w:lastRenderedPageBreak/>
        <w:t xml:space="preserve">1. the beginning of custody </w:t>
      </w:r>
      <w:r w:rsidRPr="00CD60BD">
        <w:rPr>
          <w:color w:val="12018D"/>
          <w:sz w:val="20"/>
          <w:szCs w:val="20"/>
        </w:rPr>
        <w:t>(there is no previous custodian)</w:t>
      </w:r>
    </w:p>
    <w:p w:rsidR="006F6AB5" w:rsidRPr="00CD60BD" w:rsidRDefault="006F6AB5" w:rsidP="006F6AB5">
      <w:pPr>
        <w:spacing w:after="0"/>
        <w:ind w:left="2880" w:hanging="1440"/>
        <w:rPr>
          <w:rFonts w:cstheme="minorHAnsi"/>
          <w:sz w:val="20"/>
          <w:szCs w:val="20"/>
        </w:rPr>
      </w:pPr>
      <w:r w:rsidRPr="00CD60BD">
        <w:rPr>
          <w:rFonts w:cstheme="minorHAnsi"/>
          <w:sz w:val="20"/>
          <w:szCs w:val="20"/>
        </w:rPr>
        <w:t xml:space="preserve">2. the end of custody </w:t>
      </w:r>
      <w:r w:rsidRPr="00CD60BD">
        <w:rPr>
          <w:color w:val="12018D"/>
          <w:sz w:val="20"/>
          <w:szCs w:val="20"/>
        </w:rPr>
        <w:t>(there is no subsequent custodian)</w:t>
      </w:r>
    </w:p>
    <w:p w:rsidR="006F6AB5" w:rsidRPr="00CD60BD" w:rsidRDefault="006F6AB5" w:rsidP="006F6AB5">
      <w:pPr>
        <w:spacing w:after="0"/>
        <w:ind w:left="2880" w:hanging="1440"/>
        <w:rPr>
          <w:color w:val="12018D"/>
          <w:sz w:val="20"/>
          <w:szCs w:val="20"/>
        </w:rPr>
      </w:pPr>
      <w:r w:rsidRPr="00CD60BD">
        <w:rPr>
          <w:rFonts w:cstheme="minorHAnsi"/>
          <w:sz w:val="20"/>
          <w:szCs w:val="20"/>
        </w:rPr>
        <w:t xml:space="preserve">3. the transfer of custody </w:t>
      </w:r>
      <w:r w:rsidRPr="00CD60BD">
        <w:rPr>
          <w:color w:val="12018D"/>
          <w:sz w:val="20"/>
          <w:szCs w:val="20"/>
        </w:rPr>
        <w:t>(transfer from one custodian to the next)</w:t>
      </w:r>
    </w:p>
    <w:p w:rsidR="006F6AB5" w:rsidRPr="00CD60BD" w:rsidRDefault="006F6AB5" w:rsidP="006F6AB5">
      <w:pPr>
        <w:spacing w:after="0"/>
        <w:ind w:left="2880" w:hanging="1440"/>
        <w:rPr>
          <w:rFonts w:cstheme="minorHAnsi"/>
          <w:sz w:val="20"/>
          <w:szCs w:val="20"/>
        </w:rPr>
      </w:pPr>
      <w:r w:rsidRPr="00CD60BD">
        <w:rPr>
          <w:rFonts w:cstheme="minorHAnsi"/>
          <w:sz w:val="20"/>
          <w:szCs w:val="20"/>
        </w:rPr>
        <w:t xml:space="preserve">4. the receipt of custody from an unknown source </w:t>
      </w:r>
      <w:r w:rsidRPr="00CD60BD">
        <w:rPr>
          <w:color w:val="12018D"/>
          <w:sz w:val="20"/>
          <w:szCs w:val="20"/>
        </w:rPr>
        <w:t>(the previous custodian is unknown)</w:t>
      </w:r>
    </w:p>
    <w:p w:rsidR="006F6AB5" w:rsidRPr="00CD60BD" w:rsidRDefault="006F6AB5" w:rsidP="006F6AB5">
      <w:pPr>
        <w:ind w:left="2880" w:hanging="1440"/>
        <w:rPr>
          <w:color w:val="12018D"/>
          <w:sz w:val="20"/>
          <w:szCs w:val="20"/>
        </w:rPr>
      </w:pPr>
      <w:r w:rsidRPr="00CD60BD">
        <w:rPr>
          <w:rFonts w:cstheme="minorHAnsi"/>
          <w:sz w:val="20"/>
          <w:szCs w:val="20"/>
        </w:rPr>
        <w:t xml:space="preserve">5. the declared loss of an object </w:t>
      </w:r>
      <w:r w:rsidRPr="00CD60BD">
        <w:rPr>
          <w:color w:val="12018D"/>
          <w:sz w:val="20"/>
          <w:szCs w:val="20"/>
        </w:rPr>
        <w:t>(the current or subsequent custodian is unknown)</w:t>
      </w:r>
    </w:p>
    <w:p w:rsidR="006F6AB5" w:rsidRPr="00CD60BD" w:rsidRDefault="006F6AB5" w:rsidP="006F6AB5">
      <w:pPr>
        <w:ind w:left="1440"/>
        <w:rPr>
          <w:rFonts w:cstheme="minorHAnsi"/>
          <w:sz w:val="20"/>
          <w:szCs w:val="20"/>
        </w:rPr>
      </w:pPr>
      <w:r w:rsidRPr="00CD60BD">
        <w:rPr>
          <w:color w:val="12018D"/>
          <w:sz w:val="20"/>
          <w:szCs w:val="20"/>
        </w:rPr>
        <w:t>In the event that only a single kind of transfer of custody, either the legal responsibility for the custody or the actual physical possession of the object but not both, this difference should be expressed using the property P2 has type (is type of).</w:t>
      </w:r>
      <w:r w:rsidRPr="00CD60BD">
        <w:rPr>
          <w:rFonts w:cstheme="minorHAnsi"/>
          <w:b/>
          <w:bCs/>
          <w:sz w:val="20"/>
          <w:szCs w:val="20"/>
        </w:rPr>
        <w:t xml:space="preserve"> </w:t>
      </w:r>
      <w:r w:rsidRPr="00CD60BD">
        <w:rPr>
          <w:rFonts w:cstheme="minorHAnsi"/>
          <w:sz w:val="20"/>
          <w:szCs w:val="20"/>
        </w:rPr>
        <w:t> A specific case of transfer of custody is theft. The sense of physical possession requires that the object of custody is in the hands of the keeper at least with a part representative for the whole. The way, in which a representative part is defined, should ensure that it is unambiguous who keeps a part and who the whole and should be consistent with the identity criteria of the kept instance of E18 Physical Thing. For instance, in the case of a set of cutlery we may require the majority of pieces having been in the hands of the actor regardless which individual pieces are kept over time. </w:t>
      </w:r>
    </w:p>
    <w:p w:rsidR="006F6AB5" w:rsidRPr="00C96306" w:rsidRDefault="006F6AB5" w:rsidP="006F6AB5">
      <w:pPr>
        <w:ind w:left="1440"/>
        <w:rPr>
          <w:rFonts w:cstheme="minorHAnsi"/>
          <w:sz w:val="20"/>
          <w:szCs w:val="20"/>
        </w:rPr>
      </w:pPr>
      <w:r w:rsidRPr="00CD60BD">
        <w:rPr>
          <w:rFonts w:cstheme="minorHAnsi"/>
          <w:sz w:val="20"/>
          <w:szCs w:val="20"/>
        </w:rPr>
        <w:t>The interpretation of the museum notion of "accession" differs between institutions. The CIDOC CRM therefore models legal ownership and physical custody separately. Institutions will then model their specific notions of accession and deaccession as combinations of these.</w:t>
      </w:r>
      <w:r w:rsidRPr="00CD60BD">
        <w:rPr>
          <w:sz w:val="20"/>
          <w:szCs w:val="20"/>
        </w:rPr>
        <w:t xml:space="preserve"> </w:t>
      </w:r>
    </w:p>
    <w:p w:rsidR="006F6AB5" w:rsidRPr="00CD60BD" w:rsidRDefault="006F6AB5" w:rsidP="006F6AB5">
      <w:pPr>
        <w:spacing w:after="0"/>
        <w:rPr>
          <w:sz w:val="20"/>
          <w:szCs w:val="20"/>
        </w:rPr>
      </w:pPr>
      <w:r w:rsidRPr="00CD60BD">
        <w:rPr>
          <w:sz w:val="20"/>
          <w:szCs w:val="20"/>
        </w:rPr>
        <w:t xml:space="preserve">Examples:  </w:t>
      </w:r>
    </w:p>
    <w:p w:rsidR="006F6AB5" w:rsidRPr="00CD60BD" w:rsidRDefault="006F6AB5" w:rsidP="006F6AB5">
      <w:pPr>
        <w:pStyle w:val="ListParagraph"/>
        <w:numPr>
          <w:ilvl w:val="0"/>
          <w:numId w:val="1"/>
        </w:numPr>
        <w:ind w:left="1440" w:hanging="450"/>
        <w:rPr>
          <w:sz w:val="20"/>
          <w:szCs w:val="20"/>
        </w:rPr>
      </w:pPr>
      <w:r w:rsidRPr="00CD60BD">
        <w:rPr>
          <w:sz w:val="20"/>
          <w:szCs w:val="20"/>
        </w:rPr>
        <w:t>the delivery of the paintings by Secure Deliveries Inc. to the National Gallery the return of Picasso’s “Guernica” to Madrid’s Prado in 1981 (</w:t>
      </w:r>
      <w:proofErr w:type="spellStart"/>
      <w:r w:rsidRPr="00CD60BD">
        <w:rPr>
          <w:sz w:val="20"/>
          <w:szCs w:val="20"/>
        </w:rPr>
        <w:t>Chipp</w:t>
      </w:r>
      <w:proofErr w:type="spellEnd"/>
      <w:r w:rsidRPr="00CD60BD">
        <w:rPr>
          <w:sz w:val="20"/>
          <w:szCs w:val="20"/>
        </w:rPr>
        <w:t xml:space="preserve">, 1988) </w:t>
      </w:r>
    </w:p>
    <w:p w:rsidR="006F6AB5" w:rsidRDefault="006F6AB5" w:rsidP="006F6AB5">
      <w:pPr>
        <w:spacing w:after="0"/>
        <w:rPr>
          <w:sz w:val="20"/>
          <w:szCs w:val="20"/>
        </w:rPr>
      </w:pPr>
      <w:r w:rsidRPr="00CD60BD">
        <w:rPr>
          <w:sz w:val="20"/>
          <w:szCs w:val="20"/>
        </w:rPr>
        <w:t xml:space="preserve">In First Order Logic: </w:t>
      </w:r>
    </w:p>
    <w:p w:rsidR="006F6AB5" w:rsidRPr="00CD60BD" w:rsidRDefault="006F6AB5" w:rsidP="006F6AB5">
      <w:pPr>
        <w:ind w:left="720" w:firstLine="720"/>
        <w:rPr>
          <w:sz w:val="20"/>
          <w:szCs w:val="20"/>
        </w:rPr>
      </w:pPr>
      <w:r w:rsidRPr="00CD60BD">
        <w:rPr>
          <w:sz w:val="20"/>
          <w:szCs w:val="20"/>
        </w:rPr>
        <w:t xml:space="preserve">E10(x) </w:t>
      </w:r>
      <w:r w:rsidRPr="00127FC1">
        <w:rPr>
          <w:rFonts w:ascii="Cambria Math" w:hAnsi="Cambria Math" w:cs="Cambria Math"/>
          <w:sz w:val="20"/>
          <w:szCs w:val="20"/>
        </w:rPr>
        <w:t>⇒</w:t>
      </w:r>
      <w:r w:rsidRPr="00127FC1">
        <w:rPr>
          <w:sz w:val="20"/>
          <w:szCs w:val="20"/>
        </w:rPr>
        <w:t xml:space="preserve"> </w:t>
      </w:r>
      <w:r w:rsidRPr="00CD60BD">
        <w:rPr>
          <w:sz w:val="20"/>
          <w:szCs w:val="20"/>
        </w:rPr>
        <w:t xml:space="preserve">E7(x) </w:t>
      </w:r>
    </w:p>
    <w:p w:rsidR="006F6AB5" w:rsidRPr="00CD60BD" w:rsidRDefault="006F6AB5" w:rsidP="006F6AB5">
      <w:pPr>
        <w:spacing w:after="0"/>
        <w:rPr>
          <w:sz w:val="20"/>
          <w:szCs w:val="20"/>
        </w:rPr>
      </w:pPr>
      <w:r w:rsidRPr="00CD60BD">
        <w:rPr>
          <w:sz w:val="20"/>
          <w:szCs w:val="20"/>
        </w:rPr>
        <w:t xml:space="preserve">Properties: </w:t>
      </w:r>
    </w:p>
    <w:p w:rsidR="006F6AB5" w:rsidRPr="00CD60BD" w:rsidRDefault="006F6AB5" w:rsidP="006F6AB5">
      <w:pPr>
        <w:spacing w:after="0"/>
        <w:ind w:left="1440"/>
        <w:rPr>
          <w:sz w:val="20"/>
          <w:szCs w:val="20"/>
        </w:rPr>
      </w:pPr>
      <w:r w:rsidRPr="00CD60BD">
        <w:rPr>
          <w:sz w:val="20"/>
          <w:szCs w:val="20"/>
        </w:rPr>
        <w:t xml:space="preserve">P28 custody surrendered by (surrendered custody through): E39 Actor </w:t>
      </w:r>
    </w:p>
    <w:p w:rsidR="006F6AB5" w:rsidRPr="00CD60BD" w:rsidRDefault="006F6AB5" w:rsidP="006F6AB5">
      <w:pPr>
        <w:spacing w:after="0"/>
        <w:ind w:left="1440"/>
        <w:rPr>
          <w:sz w:val="20"/>
          <w:szCs w:val="20"/>
        </w:rPr>
      </w:pPr>
      <w:r w:rsidRPr="00CD60BD">
        <w:rPr>
          <w:sz w:val="20"/>
          <w:szCs w:val="20"/>
        </w:rPr>
        <w:t xml:space="preserve">P29 custody received by (received custody through): E39 Actor </w:t>
      </w:r>
    </w:p>
    <w:p w:rsidR="006F6AB5" w:rsidRDefault="006F6AB5" w:rsidP="006F6AB5">
      <w:pPr>
        <w:ind w:left="1440"/>
        <w:rPr>
          <w:sz w:val="20"/>
          <w:szCs w:val="20"/>
        </w:rPr>
      </w:pPr>
      <w:r w:rsidRPr="00CD60BD">
        <w:rPr>
          <w:sz w:val="20"/>
          <w:szCs w:val="20"/>
        </w:rPr>
        <w:t>P30 transferred custody of (custody transferred through): E18 Physical Thing</w:t>
      </w:r>
    </w:p>
    <w:p w:rsidR="006C16C1" w:rsidRDefault="00D5736D"/>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53A0"/>
    <w:multiLevelType w:val="hybridMultilevel"/>
    <w:tmpl w:val="B82C0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DA"/>
    <w:rsid w:val="002C79A6"/>
    <w:rsid w:val="006F6AB5"/>
    <w:rsid w:val="0090101A"/>
    <w:rsid w:val="00D5736D"/>
    <w:rsid w:val="00F2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E1E7"/>
  <w15:chartTrackingRefBased/>
  <w15:docId w15:val="{335A6435-58F1-446D-881A-FF9DBDBE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AB5"/>
  </w:style>
  <w:style w:type="paragraph" w:styleId="Heading2">
    <w:name w:val="heading 2"/>
    <w:basedOn w:val="Normal"/>
    <w:next w:val="Normal"/>
    <w:link w:val="Heading2Char"/>
    <w:uiPriority w:val="99"/>
    <w:unhideWhenUsed/>
    <w:qFormat/>
    <w:rsid w:val="006F6AB5"/>
    <w:pPr>
      <w:keepNext/>
      <w:keepLines/>
      <w:spacing w:before="40" w:after="0"/>
      <w:outlineLvl w:val="1"/>
    </w:pPr>
    <w:rPr>
      <w:rFonts w:asciiTheme="majorHAnsi" w:eastAsiaTheme="majorEastAsia" w:hAnsiTheme="majorHAnsi" w:cstheme="majorBidi"/>
      <w:b/>
      <w:color w:val="2F5496" w:themeColor="accent5" w:themeShade="BF"/>
      <w:sz w:val="28"/>
      <w:szCs w:val="26"/>
    </w:rPr>
  </w:style>
  <w:style w:type="paragraph" w:styleId="Heading3">
    <w:name w:val="heading 3"/>
    <w:aliases w:val="H3-Black"/>
    <w:basedOn w:val="Normal"/>
    <w:next w:val="Normal"/>
    <w:link w:val="Heading3Char"/>
    <w:unhideWhenUsed/>
    <w:qFormat/>
    <w:rsid w:val="006F6AB5"/>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F6AB5"/>
    <w:rPr>
      <w:rFonts w:asciiTheme="majorHAnsi" w:eastAsiaTheme="majorEastAsia" w:hAnsiTheme="majorHAnsi" w:cstheme="majorBidi"/>
      <w:b/>
      <w:color w:val="2F5496" w:themeColor="accent5" w:themeShade="BF"/>
      <w:sz w:val="28"/>
      <w:szCs w:val="26"/>
    </w:rPr>
  </w:style>
  <w:style w:type="character" w:customStyle="1" w:styleId="Heading3Char">
    <w:name w:val="Heading 3 Char"/>
    <w:aliases w:val="H3-Black Char"/>
    <w:basedOn w:val="DefaultParagraphFont"/>
    <w:link w:val="Heading3"/>
    <w:rsid w:val="006F6AB5"/>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6F6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3</cp:revision>
  <dcterms:created xsi:type="dcterms:W3CDTF">2020-09-28T09:05:00Z</dcterms:created>
  <dcterms:modified xsi:type="dcterms:W3CDTF">2020-09-28T09:10:00Z</dcterms:modified>
</cp:coreProperties>
</file>