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2A" w:rsidRPr="005B732A" w:rsidRDefault="005B732A">
      <w:pPr>
        <w:rPr>
          <w:b/>
          <w:sz w:val="28"/>
        </w:rPr>
      </w:pPr>
      <w:bookmarkStart w:id="0" w:name="_GoBack"/>
      <w:r w:rsidRPr="005B732A">
        <w:rPr>
          <w:b/>
          <w:sz w:val="28"/>
        </w:rPr>
        <w:t xml:space="preserve">Here some extracts from the CRM v </w:t>
      </w:r>
      <w:proofErr w:type="gramStart"/>
      <w:r w:rsidRPr="005B732A">
        <w:rPr>
          <w:b/>
          <w:sz w:val="28"/>
        </w:rPr>
        <w:t>7.0 :</w:t>
      </w:r>
      <w:proofErr w:type="gramEnd"/>
    </w:p>
    <w:bookmarkEnd w:id="0"/>
    <w:p w:rsidR="005B732A" w:rsidRDefault="005B732A"/>
    <w:p w:rsidR="00373791" w:rsidRDefault="006A1DEF">
      <w:r>
        <w:t xml:space="preserve">The nature of that condition </w:t>
      </w:r>
      <w:r w:rsidRPr="006A1DEF">
        <w:rPr>
          <w:highlight w:val="yellow"/>
        </w:rPr>
        <w:t xml:space="preserve">can be described using </w:t>
      </w:r>
      <w:r w:rsidRPr="006A1DEF">
        <w:rPr>
          <w:i/>
          <w:highlight w:val="yellow"/>
        </w:rPr>
        <w:t>P2 has type</w:t>
      </w:r>
      <w:r>
        <w:t xml:space="preserve">. For example, the instance of E3 Condition State “condition of the SS Great Britain between 22 September 1846 and 27 August 1847” </w:t>
      </w:r>
      <w:proofErr w:type="gramStart"/>
      <w:r>
        <w:t>can be characterized</w:t>
      </w:r>
      <w:proofErr w:type="gramEnd"/>
      <w:r>
        <w:t xml:space="preserve"> as an instance “wrecked” of E55 Type.</w:t>
      </w:r>
    </w:p>
    <w:p w:rsidR="006A1DEF" w:rsidRDefault="006A1DEF">
      <w:pPr>
        <w:rPr>
          <w:color w:val="000000" w:themeColor="text1"/>
        </w:rPr>
      </w:pPr>
      <w:r w:rsidRPr="0066450F">
        <w:rPr>
          <w:color w:val="000000" w:themeColor="text1"/>
        </w:rPr>
        <w:t xml:space="preserve">In the event that only a single kind of transfer of custody, either the legal responsibility for the custody or the actual physical possession of the object but not both, this difference should be expressed </w:t>
      </w:r>
      <w:r w:rsidRPr="006A1DEF">
        <w:rPr>
          <w:color w:val="000000" w:themeColor="text1"/>
          <w:highlight w:val="yellow"/>
        </w:rPr>
        <w:t>using the property P2 has type (is type of)</w:t>
      </w:r>
    </w:p>
    <w:p w:rsidR="006A1DEF" w:rsidRDefault="006A1DEF">
      <w:pPr>
        <w:rPr>
          <w:lang w:val="en-GB"/>
        </w:rPr>
      </w:pPr>
      <w:r w:rsidRPr="006A1DEF">
        <w:rPr>
          <w:lang w:val="en-GB"/>
        </w:rPr>
        <w:t xml:space="preserve">It </w:t>
      </w:r>
      <w:proofErr w:type="gramStart"/>
      <w:r w:rsidRPr="006A1DEF">
        <w:rPr>
          <w:lang w:val="en-GB"/>
        </w:rPr>
        <w:t>can better be expressed</w:t>
      </w:r>
      <w:proofErr w:type="gramEnd"/>
      <w:r w:rsidRPr="006A1DEF">
        <w:rPr>
          <w:lang w:val="en-GB"/>
        </w:rPr>
        <w:t xml:space="preserve"> in a context independent form </w:t>
      </w:r>
      <w:r w:rsidRPr="006A1DEF">
        <w:rPr>
          <w:highlight w:val="yellow"/>
          <w:lang w:val="en-GB"/>
        </w:rPr>
        <w:t>by assigning a suitable E55 Type</w:t>
      </w:r>
      <w:r w:rsidRPr="006A1DEF">
        <w:rPr>
          <w:lang w:val="en-GB"/>
        </w:rPr>
        <w:t>, such as “preferred identifier assignment”, to the respective instance of E15 Identifier Assignment via the P2 has type property.</w:t>
      </w:r>
    </w:p>
    <w:p w:rsidR="006C49E1" w:rsidRDefault="006C49E1">
      <w:r>
        <w:t xml:space="preserve">Measurement by properties such as </w:t>
      </w:r>
      <w:r>
        <w:rPr>
          <w:i/>
        </w:rPr>
        <w:t>P33 used specific technique</w:t>
      </w:r>
      <w:r>
        <w:t>: E29 Design or Procedure</w:t>
      </w:r>
      <w:proofErr w:type="gramStart"/>
      <w:r>
        <w:t>,</w:t>
      </w:r>
      <w:r>
        <w:rPr>
          <w:i/>
        </w:rPr>
        <w:t xml:space="preserve">  P125</w:t>
      </w:r>
      <w:proofErr w:type="gramEnd"/>
      <w:r>
        <w:rPr>
          <w:i/>
        </w:rPr>
        <w:t xml:space="preserve"> used object of type</w:t>
      </w:r>
      <w:r>
        <w:t>: E55 Type,</w:t>
      </w:r>
      <w:r>
        <w:rPr>
          <w:i/>
        </w:rPr>
        <w:t xml:space="preserve"> P16 used specific object (was used for)</w:t>
      </w:r>
      <w:r>
        <w:t xml:space="preserve">: E70 Thing, whereas basic techniques such as "carbon 14 dating" should be encoded using </w:t>
      </w:r>
      <w:r w:rsidRPr="006C49E1">
        <w:rPr>
          <w:i/>
          <w:highlight w:val="yellow"/>
        </w:rPr>
        <w:t>P2 has type (is type of)</w:t>
      </w:r>
      <w:r w:rsidRPr="006C49E1">
        <w:rPr>
          <w:highlight w:val="yellow"/>
        </w:rPr>
        <w:t>: E55 Type</w:t>
      </w:r>
      <w:r>
        <w:t>.</w:t>
      </w:r>
    </w:p>
    <w:p w:rsidR="006C49E1" w:rsidRDefault="006C49E1">
      <w:r>
        <w:t xml:space="preserve">The transcription of the text </w:t>
      </w:r>
      <w:proofErr w:type="gramStart"/>
      <w:r>
        <w:t>can be documented</w:t>
      </w:r>
      <w:proofErr w:type="gramEnd"/>
      <w:r>
        <w:t xml:space="preserve"> in a note by </w:t>
      </w:r>
      <w:r>
        <w:rPr>
          <w:i/>
        </w:rPr>
        <w:t>P3 has note: E62 String</w:t>
      </w:r>
      <w:r>
        <w:t xml:space="preserve">. The alphabet used </w:t>
      </w:r>
      <w:proofErr w:type="gramStart"/>
      <w:r>
        <w:t>can be documented</w:t>
      </w:r>
      <w:proofErr w:type="gramEnd"/>
      <w:r>
        <w:t xml:space="preserve"> </w:t>
      </w:r>
      <w:r w:rsidRPr="006C49E1">
        <w:rPr>
          <w:highlight w:val="yellow"/>
        </w:rPr>
        <w:t xml:space="preserve">by </w:t>
      </w:r>
      <w:r w:rsidRPr="006C49E1">
        <w:rPr>
          <w:i/>
          <w:highlight w:val="yellow"/>
        </w:rPr>
        <w:t>P2 has type: E55 Type</w:t>
      </w:r>
      <w:r>
        <w:t>.</w:t>
      </w:r>
    </w:p>
    <w:p w:rsidR="006C49E1" w:rsidRDefault="006C49E1">
      <w:pPr>
        <w:rPr>
          <w:lang w:val="en-GB"/>
        </w:rPr>
      </w:pPr>
      <w:r>
        <w:rPr>
          <w:lang w:val="en-GB"/>
        </w:rPr>
        <w:t xml:space="preserve">Dimension: </w:t>
      </w:r>
      <w:r w:rsidRPr="006C49E1">
        <w:rPr>
          <w:lang w:val="en-GB"/>
        </w:rPr>
        <w:t xml:space="preserve">The method of determination should be expressed using the property </w:t>
      </w:r>
      <w:r w:rsidRPr="006C49E1">
        <w:rPr>
          <w:highlight w:val="yellow"/>
          <w:lang w:val="en-GB"/>
        </w:rPr>
        <w:t>P2 has type (is type of).</w:t>
      </w:r>
    </w:p>
    <w:p w:rsidR="006C49E1" w:rsidRPr="006C49E1" w:rsidRDefault="006C49E1">
      <w:pPr>
        <w:rPr>
          <w:b/>
          <w:lang w:val="en-GB"/>
        </w:rPr>
      </w:pPr>
      <w:r w:rsidRPr="006C49E1">
        <w:rPr>
          <w:b/>
          <w:lang w:val="en-GB"/>
        </w:rPr>
        <w:t>All the .1 properties:</w:t>
      </w:r>
    </w:p>
    <w:p w:rsidR="006C49E1" w:rsidRDefault="006C49E1">
      <w:r>
        <w:t xml:space="preserve">The </w:t>
      </w:r>
      <w:r w:rsidRPr="006C49E1">
        <w:rPr>
          <w:i/>
          <w:highlight w:val="yellow"/>
        </w:rPr>
        <w:t>P137.1</w:t>
      </w:r>
      <w:r>
        <w:rPr>
          <w:i/>
        </w:rPr>
        <w:t xml:space="preserve"> in the taxonomic role </w:t>
      </w:r>
      <w:r>
        <w:t xml:space="preserve">property of </w:t>
      </w:r>
      <w:r>
        <w:rPr>
          <w:i/>
        </w:rPr>
        <w:t>P137 exemplifies (is exemplified by)</w:t>
      </w:r>
      <w:r>
        <w:t xml:space="preserve"> allows differentiation of taxonomic roles. The taxonomic role renders the specific relationship of this example to the type, such as "prototypical", "archetypical", "</w:t>
      </w:r>
      <w:proofErr w:type="spellStart"/>
      <w:r>
        <w:t>lectotype</w:t>
      </w:r>
      <w:proofErr w:type="spellEnd"/>
      <w:r>
        <w:t>", etc.</w:t>
      </w:r>
    </w:p>
    <w:p w:rsidR="006C49E1" w:rsidRDefault="006C49E1">
      <w:r w:rsidRPr="00E909ED">
        <w:rPr>
          <w:b/>
        </w:rPr>
        <w:t>Basic interpretations of E4 Period</w:t>
      </w:r>
      <w:r>
        <w:t>, such as:</w:t>
      </w:r>
    </w:p>
    <w:p w:rsidR="006C49E1" w:rsidRDefault="006C49E1">
      <w:r>
        <w:t>“</w:t>
      </w:r>
      <w:r>
        <w:t xml:space="preserve">A geopolitical unit as </w:t>
      </w:r>
      <w:r w:rsidRPr="00E909ED">
        <w:rPr>
          <w:highlight w:val="yellow"/>
        </w:rPr>
        <w:t>a specific case of an</w:t>
      </w:r>
      <w:r>
        <w:t xml:space="preserve"> instance of E4 Period is the set of activities and phenomena related to the claim of power, the consequences of belonging to a </w:t>
      </w:r>
      <w:r w:rsidRPr="00E909ED">
        <w:rPr>
          <w:highlight w:val="yellow"/>
        </w:rPr>
        <w:t>jurisdictional area</w:t>
      </w:r>
      <w:r>
        <w:t xml:space="preserve"> and an administrative system that establishes a geopolitical unit.</w:t>
      </w:r>
      <w:r>
        <w:t>”</w:t>
      </w:r>
    </w:p>
    <w:p w:rsidR="00E909ED" w:rsidRPr="00E909ED" w:rsidRDefault="00E909ED">
      <w:pPr>
        <w:rPr>
          <w:b/>
        </w:rPr>
      </w:pPr>
      <w:r w:rsidRPr="00E909ED">
        <w:rPr>
          <w:b/>
        </w:rPr>
        <w:t>Appellations and other deprecated classes:</w:t>
      </w:r>
    </w:p>
    <w:p w:rsidR="00E909ED" w:rsidRDefault="00E909ED" w:rsidP="00E909ED">
      <w:pPr>
        <w:pStyle w:val="CRMExample"/>
        <w:tabs>
          <w:tab w:val="clear" w:pos="360"/>
        </w:tabs>
      </w:pPr>
      <w:r>
        <w:t>"Martin"</w:t>
      </w:r>
    </w:p>
    <w:p w:rsidR="00E909ED" w:rsidRDefault="00E909ED" w:rsidP="00E909ED">
      <w:pPr>
        <w:pStyle w:val="CRMExample"/>
        <w:tabs>
          <w:tab w:val="clear" w:pos="360"/>
        </w:tabs>
      </w:pPr>
      <w:r>
        <w:t>“</w:t>
      </w:r>
      <w:proofErr w:type="spellStart"/>
      <w:r>
        <w:t>Aquae</w:t>
      </w:r>
      <w:proofErr w:type="spellEnd"/>
      <w:r>
        <w:t xml:space="preserve"> </w:t>
      </w:r>
      <w:proofErr w:type="spellStart"/>
      <w:r>
        <w:t>Sulis</w:t>
      </w:r>
      <w:proofErr w:type="spellEnd"/>
      <w:r>
        <w:t xml:space="preserve"> Minerva”</w:t>
      </w:r>
    </w:p>
    <w:p w:rsidR="00E909ED" w:rsidRDefault="00E909ED" w:rsidP="00E909ED">
      <w:pPr>
        <w:pStyle w:val="CRMExample"/>
        <w:tabs>
          <w:tab w:val="clear" w:pos="360"/>
        </w:tabs>
      </w:pPr>
      <w:r>
        <w:t>"the Merchant of Venice" (E35) (McCullough, 2005)</w:t>
      </w:r>
    </w:p>
    <w:p w:rsidR="00E909ED" w:rsidRDefault="00E909ED" w:rsidP="00E909ED">
      <w:pPr>
        <w:pStyle w:val="CRMExample"/>
        <w:tabs>
          <w:tab w:val="clear" w:pos="360"/>
        </w:tabs>
      </w:pPr>
      <w:r>
        <w:t>"</w:t>
      </w:r>
      <w:proofErr w:type="spellStart"/>
      <w:r>
        <w:t>Spigelia</w:t>
      </w:r>
      <w:proofErr w:type="spellEnd"/>
      <w:r>
        <w:t xml:space="preserve"> </w:t>
      </w:r>
      <w:proofErr w:type="spellStart"/>
      <w:r>
        <w:t>marilandica</w:t>
      </w:r>
      <w:proofErr w:type="spellEnd"/>
      <w:r>
        <w:t xml:space="preserve"> (L.) L." [not the species, </w:t>
      </w:r>
      <w:r w:rsidRPr="00E909ED">
        <w:rPr>
          <w:highlight w:val="yellow"/>
        </w:rPr>
        <w:t>just the name</w:t>
      </w:r>
      <w:r>
        <w:t xml:space="preserve">] (Hershberger, Jenkins and </w:t>
      </w:r>
      <w:proofErr w:type="spellStart"/>
      <w:r>
        <w:t>Robacker</w:t>
      </w:r>
      <w:proofErr w:type="spellEnd"/>
      <w:r>
        <w:t>, 2015)</w:t>
      </w:r>
    </w:p>
    <w:p w:rsidR="00E909ED" w:rsidRDefault="00E909ED" w:rsidP="00E909ED">
      <w:pPr>
        <w:pStyle w:val="CRMExample"/>
        <w:tabs>
          <w:tab w:val="clear" w:pos="360"/>
        </w:tabs>
      </w:pPr>
      <w:r>
        <w:t>"information science" [not the science itself, but the name through which we refer to it in an English-speaking context]</w:t>
      </w:r>
    </w:p>
    <w:p w:rsidR="00E909ED" w:rsidRDefault="00E909ED" w:rsidP="00E909ED">
      <w:pPr>
        <w:pStyle w:val="CRMExample"/>
        <w:tabs>
          <w:tab w:val="clear" w:pos="360"/>
        </w:tabs>
      </w:pPr>
      <w:r>
        <w:t>“</w:t>
      </w:r>
      <w:r>
        <w:rPr>
          <w:rFonts w:ascii="MS Gothic" w:eastAsia="MS Gothic" w:hAnsi="MS Gothic" w:cs="MS Gothic"/>
        </w:rPr>
        <w:t>安</w:t>
      </w:r>
      <w:r>
        <w:t>” [Chinese “an”, meaning “peace”]</w:t>
      </w:r>
    </w:p>
    <w:p w:rsidR="00E909ED" w:rsidRDefault="00E909ED" w:rsidP="00E909ED">
      <w:pPr>
        <w:pStyle w:val="CRMExample"/>
        <w:tabs>
          <w:tab w:val="clear" w:pos="360"/>
        </w:tabs>
      </w:pPr>
      <w:r>
        <w:t xml:space="preserve">“6°5’29”N 45°12’13”W” (example of </w:t>
      </w:r>
      <w:r w:rsidRPr="00E909ED">
        <w:rPr>
          <w:highlight w:val="yellow"/>
        </w:rPr>
        <w:t>spatial coordinate</w:t>
      </w:r>
      <w:r>
        <w:t>)</w:t>
      </w:r>
    </w:p>
    <w:p w:rsidR="00E909ED" w:rsidRDefault="00E909ED" w:rsidP="00E909ED">
      <w:pPr>
        <w:pStyle w:val="CRMExample"/>
        <w:tabs>
          <w:tab w:val="clear" w:pos="360"/>
        </w:tabs>
      </w:pPr>
      <w:r>
        <w:t>“Black queen’s bishop 4” [chess coordinate] (example of spatial coordinate)</w:t>
      </w:r>
    </w:p>
    <w:p w:rsidR="00E909ED" w:rsidRDefault="00E909ED" w:rsidP="00E909ED">
      <w:pPr>
        <w:pStyle w:val="CRMExample"/>
        <w:tabs>
          <w:tab w:val="clear" w:pos="360"/>
        </w:tabs>
      </w:pPr>
      <w:r>
        <w:t xml:space="preserve">“19-MAR-1922” (example </w:t>
      </w:r>
      <w:r w:rsidRPr="00E909ED">
        <w:rPr>
          <w:highlight w:val="yellow"/>
        </w:rPr>
        <w:t>of date</w:t>
      </w:r>
      <w:r>
        <w:t>)</w:t>
      </w:r>
    </w:p>
    <w:p w:rsidR="00E909ED" w:rsidRDefault="00E909ED" w:rsidP="00E909ED">
      <w:pPr>
        <w:pStyle w:val="CRMExample"/>
        <w:tabs>
          <w:tab w:val="clear" w:pos="360"/>
        </w:tabs>
      </w:pPr>
      <w:r>
        <w:lastRenderedPageBreak/>
        <w:t xml:space="preserve">“+41 22 418 5571” (example of </w:t>
      </w:r>
      <w:r w:rsidRPr="00E909ED">
        <w:rPr>
          <w:highlight w:val="yellow"/>
        </w:rPr>
        <w:t>contact point</w:t>
      </w:r>
      <w:r>
        <w:t>)</w:t>
      </w:r>
    </w:p>
    <w:p w:rsidR="00E909ED" w:rsidRDefault="00E909ED" w:rsidP="00E909ED">
      <w:pPr>
        <w:pStyle w:val="CRMExample"/>
        <w:tabs>
          <w:tab w:val="clear" w:pos="360"/>
        </w:tabs>
      </w:pPr>
      <w:r>
        <w:t>"weasel@paveprime.com" (example of contact point)</w:t>
      </w:r>
    </w:p>
    <w:p w:rsidR="00E909ED" w:rsidRDefault="00E909ED" w:rsidP="00E909ED">
      <w:pPr>
        <w:pStyle w:val="CRMExample"/>
        <w:tabs>
          <w:tab w:val="clear" w:pos="360"/>
        </w:tabs>
      </w:pPr>
      <w:r>
        <w:t xml:space="preserve">“CH-1211, Genève” (example of </w:t>
      </w:r>
      <w:r w:rsidRPr="00E909ED">
        <w:rPr>
          <w:highlight w:val="yellow"/>
        </w:rPr>
        <w:t>place appellation</w:t>
      </w:r>
      <w:r>
        <w:t>)</w:t>
      </w:r>
    </w:p>
    <w:p w:rsidR="00E909ED" w:rsidRDefault="00E909ED" w:rsidP="00E909ED">
      <w:pPr>
        <w:pStyle w:val="CRMExample"/>
        <w:tabs>
          <w:tab w:val="clear" w:pos="360"/>
        </w:tabs>
      </w:pPr>
      <w:r>
        <w:t>“1-29-3 Otsuka, Bunkyo-</w:t>
      </w:r>
      <w:proofErr w:type="spellStart"/>
      <w:r>
        <w:t>ku</w:t>
      </w:r>
      <w:proofErr w:type="spellEnd"/>
      <w:r>
        <w:t xml:space="preserve">, Tokyo, 121, Japan” (example of </w:t>
      </w:r>
      <w:r w:rsidRPr="00E909ED">
        <w:rPr>
          <w:highlight w:val="yellow"/>
        </w:rPr>
        <w:t>address</w:t>
      </w:r>
      <w:r>
        <w:t>)</w:t>
      </w:r>
    </w:p>
    <w:p w:rsidR="00E909ED" w:rsidRDefault="00E909ED" w:rsidP="00E909ED">
      <w:pPr>
        <w:pStyle w:val="CRMExample"/>
        <w:tabs>
          <w:tab w:val="clear" w:pos="360"/>
        </w:tabs>
      </w:pPr>
      <w:r>
        <w:t xml:space="preserve">“the poop deck of H.M.S Victory” (example of </w:t>
      </w:r>
      <w:r w:rsidRPr="00E909ED">
        <w:rPr>
          <w:highlight w:val="yellow"/>
        </w:rPr>
        <w:t>section definition</w:t>
      </w:r>
      <w:r>
        <w:t>)</w:t>
      </w:r>
    </w:p>
    <w:p w:rsidR="00E909ED" w:rsidRDefault="00E909ED" w:rsidP="00E909ED">
      <w:pPr>
        <w:pStyle w:val="CRMExample"/>
        <w:tabs>
          <w:tab w:val="clear" w:pos="360"/>
        </w:tabs>
      </w:pPr>
      <w:r>
        <w:t>“the Venus de Milo’s left buttock” (example of section definition)</w:t>
      </w:r>
    </w:p>
    <w:p w:rsidR="00E909ED" w:rsidRDefault="00E909ED">
      <w:pPr>
        <w:rPr>
          <w:lang w:val="en-GB"/>
        </w:rPr>
      </w:pPr>
    </w:p>
    <w:p w:rsidR="00E909ED" w:rsidRDefault="00E909ED">
      <w:pPr>
        <w:rPr>
          <w:b/>
          <w:lang w:val="en-GB"/>
        </w:rPr>
      </w:pPr>
      <w:r w:rsidRPr="00E909ED">
        <w:rPr>
          <w:b/>
          <w:lang w:val="en-GB"/>
        </w:rPr>
        <w:t>All properties with range E55 Type:</w:t>
      </w:r>
    </w:p>
    <w:p w:rsidR="00E909ED" w:rsidRPr="00E909ED" w:rsidRDefault="00E909ED">
      <w:pPr>
        <w:rPr>
          <w:lang w:val="en-GB"/>
        </w:rPr>
      </w:pPr>
      <w:r w:rsidRPr="00E909ED">
        <w:rPr>
          <w:lang w:val="en-GB"/>
        </w:rPr>
        <w:t>Such as:</w:t>
      </w:r>
    </w:p>
    <w:p w:rsidR="00E909ED" w:rsidRDefault="00E909ED">
      <w:pPr>
        <w:rPr>
          <w:lang w:val="en-GB"/>
        </w:rPr>
      </w:pPr>
      <w:r w:rsidRPr="00E909ED">
        <w:rPr>
          <w:highlight w:val="yellow"/>
          <w:lang w:val="en-GB"/>
        </w:rPr>
        <w:t xml:space="preserve">P45 consists </w:t>
      </w:r>
      <w:proofErr w:type="gramStart"/>
      <w:r w:rsidRPr="00E909ED">
        <w:rPr>
          <w:highlight w:val="yellow"/>
          <w:lang w:val="en-GB"/>
        </w:rPr>
        <w:t>of:</w:t>
      </w:r>
      <w:proofErr w:type="gramEnd"/>
      <w:r w:rsidRPr="00E909ED">
        <w:rPr>
          <w:lang w:val="en-GB"/>
        </w:rPr>
        <w:t xml:space="preserve"> Material</w:t>
      </w:r>
    </w:p>
    <w:p w:rsidR="00E909ED" w:rsidRPr="00E909ED" w:rsidRDefault="00E909ED">
      <w:pPr>
        <w:rPr>
          <w:lang w:val="en-GB"/>
        </w:rPr>
      </w:pPr>
      <w:r w:rsidRPr="00E909ED">
        <w:rPr>
          <w:highlight w:val="yellow"/>
          <w:lang w:val="en-GB"/>
        </w:rPr>
        <w:t>P101 had as general use:</w:t>
      </w:r>
      <w:r>
        <w:rPr>
          <w:lang w:val="en-GB"/>
        </w:rPr>
        <w:t xml:space="preserve"> E55 Type</w:t>
      </w:r>
    </w:p>
    <w:sectPr w:rsidR="00E909ED" w:rsidRPr="00E90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A03"/>
    <w:multiLevelType w:val="multilevel"/>
    <w:tmpl w:val="8B3CDD4A"/>
    <w:lvl w:ilvl="0">
      <w:start w:val="1"/>
      <w:numFmt w:val="bullet"/>
      <w:pStyle w:val="CRMExample"/>
      <w:suff w:val="space"/>
      <w:lvlText w:val=""/>
      <w:lvlJc w:val="left"/>
      <w:pPr>
        <w:tabs>
          <w:tab w:val="num" w:pos="1440"/>
        </w:tabs>
        <w:ind w:left="1440" w:firstLine="0"/>
      </w:pPr>
      <w:rPr>
        <w:rFonts w:ascii="Wingdings 2" w:hAnsi="Wingdings 2" w:cs="Wingdings 2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A2"/>
    <w:rsid w:val="00373791"/>
    <w:rsid w:val="005B732A"/>
    <w:rsid w:val="005C7DA2"/>
    <w:rsid w:val="006A1DEF"/>
    <w:rsid w:val="006C49E1"/>
    <w:rsid w:val="00E9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993F2"/>
  <w15:chartTrackingRefBased/>
  <w15:docId w15:val="{E06ACDD5-48C1-4FBE-B17C-0CBA1041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MExample">
    <w:name w:val="CRM Example"/>
    <w:basedOn w:val="BodyText"/>
    <w:qFormat/>
    <w:rsid w:val="00E909ED"/>
    <w:pPr>
      <w:numPr>
        <w:numId w:val="1"/>
      </w:numPr>
      <w:tabs>
        <w:tab w:val="clear" w:pos="1440"/>
        <w:tab w:val="num" w:pos="0"/>
        <w:tab w:val="num" w:pos="360"/>
      </w:tabs>
      <w:suppressAutoHyphens/>
      <w:spacing w:after="0" w:line="276" w:lineRule="auto"/>
      <w:ind w:left="1667" w:hanging="227"/>
    </w:pPr>
    <w:rPr>
      <w:rFonts w:ascii="Times New Roman" w:eastAsia="Noto Serif CJK SC" w:hAnsi="Times New Roman" w:cs="Lohit Devanagari"/>
      <w:kern w:val="2"/>
      <w:sz w:val="20"/>
      <w:szCs w:val="24"/>
      <w:lang w:val="en-GB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E909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Doerr</dc:creator>
  <cp:keywords/>
  <dc:description/>
  <cp:lastModifiedBy>Martin Doerr</cp:lastModifiedBy>
  <cp:revision>4</cp:revision>
  <dcterms:created xsi:type="dcterms:W3CDTF">2020-10-15T19:05:00Z</dcterms:created>
  <dcterms:modified xsi:type="dcterms:W3CDTF">2020-10-15T19:27:00Z</dcterms:modified>
</cp:coreProperties>
</file>