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80" w:rsidRDefault="00AA7580" w:rsidP="00AA7580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Appendix J – 295 </w:t>
      </w:r>
      <w:r w:rsidRPr="00A37718">
        <w:t>Digital Libraries as physical objects</w:t>
      </w:r>
    </w:p>
    <w:p w:rsidR="00AA7580" w:rsidRPr="0029679C" w:rsidRDefault="00AA7580" w:rsidP="00AA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b/>
          <w:bCs/>
          <w:sz w:val="27"/>
          <w:szCs w:val="27"/>
        </w:rPr>
        <w:t>Delete:</w:t>
      </w:r>
    </w:p>
    <w:p w:rsidR="00AA7580" w:rsidRPr="0029679C" w:rsidRDefault="00AA7580" w:rsidP="00AA75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Toc468456438"/>
      <w:bookmarkStart w:id="1" w:name="_Toc40597406"/>
      <w:bookmarkStart w:id="2" w:name="_Toc40584393"/>
      <w:bookmarkStart w:id="3" w:name="_Toc40519402"/>
      <w:bookmarkStart w:id="4" w:name="_Toc25403015"/>
      <w:r w:rsidRPr="0029679C">
        <w:rPr>
          <w:rFonts w:ascii="Times New Roman" w:eastAsia="Times New Roman" w:hAnsi="Times New Roman" w:cs="Times New Roman"/>
          <w:b/>
          <w:bCs/>
          <w:sz w:val="27"/>
          <w:szCs w:val="20"/>
          <w:highlight w:val="red"/>
        </w:rPr>
        <w:t>E84 Information Carrier</w:t>
      </w:r>
      <w:bookmarkEnd w:id="0"/>
      <w:bookmarkEnd w:id="1"/>
      <w:bookmarkEnd w:id="2"/>
      <w:bookmarkEnd w:id="3"/>
      <w:bookmarkEnd w:id="4"/>
    </w:p>
    <w:p w:rsidR="00AA7580" w:rsidRPr="0029679C" w:rsidRDefault="00AA7580" w:rsidP="00A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Subclass of:   </w:t>
      </w: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ab/>
      </w:r>
      <w:hyperlink r:id="rId4" w:anchor="_E22_Man-Made_Object" w:history="1">
        <w:r w:rsidRPr="0029679C">
          <w:rPr>
            <w:rFonts w:ascii="Times New Roman" w:eastAsia="Times New Roman" w:hAnsi="Times New Roman" w:cs="Times New Roman"/>
            <w:color w:val="0000FF"/>
            <w:sz w:val="24"/>
            <w:szCs w:val="20"/>
            <w:highlight w:val="red"/>
            <w:u w:val="single"/>
          </w:rPr>
          <w:t>E22</w:t>
        </w:r>
      </w:hyperlink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Man-Made Object</w:t>
      </w:r>
    </w:p>
    <w:p w:rsidR="00AA7580" w:rsidRPr="0029679C" w:rsidRDefault="00AA7580" w:rsidP="00A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 </w:t>
      </w:r>
    </w:p>
    <w:p w:rsidR="00AA7580" w:rsidRPr="0029679C" w:rsidRDefault="00AA7580" w:rsidP="00AA7580">
      <w:pPr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Scope note: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ab/>
        <w:t xml:space="preserve">This class comprises all instances of E22 Man-Made Object that </w:t>
      </w:r>
      <w:proofErr w:type="gramStart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are explicitly designed</w:t>
      </w:r>
      <w:proofErr w:type="gramEnd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to act as persistent physical carriers for instances of E73 Information Object. </w:t>
      </w:r>
    </w:p>
    <w:p w:rsidR="00AA7580" w:rsidRPr="0029679C" w:rsidRDefault="00AA7580" w:rsidP="00AA758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An E84 Information Carrier may or may not contain information, e.g., a diskette. Note that any E18 Physical Thing may carry information, such as an E34 Inscription. However, unless it </w:t>
      </w:r>
      <w:proofErr w:type="gramStart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was specifically designed</w:t>
      </w:r>
      <w:proofErr w:type="gramEnd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for this purpose, it is not an Information Carrier. Therefore the property </w:t>
      </w:r>
      <w:r w:rsidRPr="0029679C">
        <w:rPr>
          <w:rFonts w:ascii="Times New Roman" w:eastAsia="Times New Roman" w:hAnsi="Times New Roman" w:cs="Times New Roman"/>
          <w:i/>
          <w:iCs/>
          <w:sz w:val="24"/>
          <w:szCs w:val="20"/>
          <w:highlight w:val="red"/>
        </w:rPr>
        <w:t>P128 carries (is carried by)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applies to E18 Physical Thing in general.</w:t>
      </w:r>
    </w:p>
    <w:p w:rsidR="00AA7580" w:rsidRPr="0029679C" w:rsidRDefault="00AA7580" w:rsidP="00AA7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Examples: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ab/>
      </w:r>
    </w:p>
    <w:p w:rsidR="00AA7580" w:rsidRPr="0029679C" w:rsidRDefault="00AA7580" w:rsidP="00AA7580">
      <w:pPr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4"/>
          <w:szCs w:val="20"/>
          <w:highlight w:val="red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red"/>
        </w:rPr>
        <w:t xml:space="preserve">  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Rosetta Stone</w:t>
      </w:r>
    </w:p>
    <w:p w:rsidR="00AA7580" w:rsidRPr="0029679C" w:rsidRDefault="00AA7580" w:rsidP="00AA7580">
      <w:pPr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4"/>
          <w:szCs w:val="20"/>
          <w:highlight w:val="red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red"/>
        </w:rPr>
        <w:t xml:space="preserve">  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my</w:t>
      </w:r>
      <w:proofErr w:type="gramEnd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paperback copy of Crime &amp; Punishment</w:t>
      </w:r>
    </w:p>
    <w:p w:rsidR="00AA7580" w:rsidRPr="0029679C" w:rsidRDefault="00AA7580" w:rsidP="00AA7580">
      <w:pPr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4"/>
          <w:szCs w:val="20"/>
          <w:highlight w:val="red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red"/>
        </w:rPr>
        <w:t xml:space="preserve">  </w:t>
      </w: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 xml:space="preserve"> computer disk at ICS-FORTH that stores the canonical Definition of the CIDOC CRM</w:t>
      </w:r>
    </w:p>
    <w:p w:rsidR="00AA7580" w:rsidRPr="0029679C" w:rsidRDefault="00AA7580" w:rsidP="00AA7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0"/>
          <w:highlight w:val="red"/>
        </w:rPr>
        <w:t> </w:t>
      </w:r>
    </w:p>
    <w:p w:rsidR="00AA7580" w:rsidRPr="0029679C" w:rsidRDefault="00AA7580" w:rsidP="00A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>In First Order Logic:</w:t>
      </w:r>
    </w:p>
    <w:p w:rsidR="00AA7580" w:rsidRPr="0029679C" w:rsidRDefault="00AA7580" w:rsidP="00A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ab/>
      </w: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ab/>
        <w:t xml:space="preserve">E84(x) </w:t>
      </w:r>
      <w:r w:rsidRPr="0029679C">
        <w:rPr>
          <w:rFonts w:ascii="Cambria Math" w:eastAsia="Times New Roman" w:hAnsi="Cambria Math" w:cs="Cambria Math"/>
          <w:sz w:val="24"/>
          <w:szCs w:val="24"/>
          <w:highlight w:val="red"/>
        </w:rPr>
        <w:t>⊃</w:t>
      </w:r>
      <w:r w:rsidRPr="0029679C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E22(x)</w:t>
      </w:r>
    </w:p>
    <w:p w:rsidR="00AA7580" w:rsidRPr="0029679C" w:rsidRDefault="00AA7580" w:rsidP="00A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b/>
          <w:bCs/>
          <w:sz w:val="27"/>
          <w:szCs w:val="27"/>
        </w:rPr>
        <w:t>New examples in:</w:t>
      </w:r>
    </w:p>
    <w:p w:rsidR="00AA7580" w:rsidRPr="0029679C" w:rsidRDefault="00AA7580" w:rsidP="00AA7580">
      <w:pPr>
        <w:keepNext/>
        <w:widowControl w:val="0"/>
        <w:autoSpaceDE w:val="0"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68456432"/>
      <w:bookmarkStart w:id="6" w:name="_Toc40597395"/>
      <w:bookmarkStart w:id="7" w:name="_Toc40584382"/>
      <w:bookmarkStart w:id="8" w:name="_Toc40519391"/>
      <w:r w:rsidRPr="0029679C">
        <w:rPr>
          <w:rFonts w:ascii="Arial" w:eastAsia="Times New Roman" w:hAnsi="Arial" w:cs="Arial"/>
          <w:b/>
          <w:bCs/>
          <w:sz w:val="20"/>
          <w:szCs w:val="24"/>
        </w:rPr>
        <w:t>E78 Curated Holding</w:t>
      </w:r>
      <w:bookmarkStart w:id="9" w:name="_Toc25403004"/>
      <w:bookmarkEnd w:id="5"/>
      <w:bookmarkEnd w:id="6"/>
      <w:bookmarkEnd w:id="7"/>
      <w:bookmarkEnd w:id="8"/>
      <w:bookmarkEnd w:id="9"/>
    </w:p>
    <w:p w:rsidR="00AA7580" w:rsidRPr="0029679C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Subclass of: 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ab/>
      </w:r>
      <w:hyperlink r:id="rId5" w:anchor="_E24_Physical_Man-Made_Thing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E24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Physical Man-Made Thing</w:t>
      </w:r>
    </w:p>
    <w:p w:rsidR="00AA7580" w:rsidRPr="0029679C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Scope note: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This class comprises aggregations of instances of E18 Physical Thing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are assembled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and maintained (“curated” and “preserved,” in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</w:rPr>
        <w:t>museological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terminology) by one or more instances of E39 Actor over time for a specific purpose and audience, and according to a particular collection development plan. Typical instances of curated holdings are museum collections, archives, library holdings and digital libraries. A digital library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is regarded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as an instance of E18 Physical Thing because it requires keeping physical carriers of the electronic content.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Items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may be added or removed from an E78 Curated Holding in pursuit of this plan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. This class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should not be confused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with the E39 Actor maintaining the E78 Curated Holding often referred to with the name of the E78 Curated Holding (e.g. “The Wallace Collection decided…”). 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Collective objects in the general sense, like a tomb full of gifts, a folder with stamps or a set of chessmen,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should be documented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as instances of E19 Physical Object, and not as instances of E78 Curated Holding. This is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because they form wholes either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because they are physically bound together or because they are kept together for their functionality.</w:t>
      </w:r>
    </w:p>
    <w:p w:rsidR="00AA7580" w:rsidRPr="0029679C" w:rsidRDefault="00AA7580" w:rsidP="00AA75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Courier New" w:eastAsia="Times New Roman" w:hAnsi="Courier New" w:cs="Courier New"/>
          <w:sz w:val="20"/>
          <w:szCs w:val="20"/>
        </w:rPr>
        <w:t> 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Examples: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John Clayton Herbarium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Wallace Collection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Mikael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</w:rPr>
        <w:t>Heggelund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</w:rPr>
        <w:t>Foslie’s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coralline red algae Herbarium at Museum of Natural History and Archaeology, Trondheim, Norway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4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Digital Collections of the Munich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>DigitiZation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>Center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(MDZ) accessible via </w:t>
      </w:r>
      <w:hyperlink r:id="rId6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highlight w:val="green"/>
            <w:u w:val="single"/>
          </w:rPr>
          <w:t>https://www.digitale-sammlungen.de/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at least in January 2018.</w:t>
      </w:r>
    </w:p>
    <w:p w:rsidR="00AA7580" w:rsidRPr="005A289A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</w:rPr>
      </w:pPr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</w:rPr>
        <w:t>Decision: agreed</w:t>
      </w:r>
    </w:p>
    <w:p w:rsidR="00AA7580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In First Order Logic: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  <w:t xml:space="preserve">E78(x) </w:t>
      </w:r>
      <w:r w:rsidRPr="0029679C">
        <w:rPr>
          <w:rFonts w:ascii="Cambria Math" w:eastAsia="Times New Roman" w:hAnsi="Cambria Math" w:cs="Cambria Math"/>
          <w:sz w:val="20"/>
          <w:szCs w:val="20"/>
        </w:rPr>
        <w:t>⊃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E24(x)</w:t>
      </w:r>
    </w:p>
    <w:p w:rsidR="00AA7580" w:rsidRPr="0029679C" w:rsidRDefault="00AA7580" w:rsidP="00AA7580">
      <w:pPr>
        <w:keepNext/>
        <w:widowControl w:val="0"/>
        <w:autoSpaceDE w:val="0"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0597319"/>
      <w:bookmarkStart w:id="11" w:name="_Toc40584306"/>
      <w:bookmarkStart w:id="12" w:name="_Toc40519315"/>
      <w:bookmarkStart w:id="13" w:name="_Toc25402929"/>
      <w:bookmarkStart w:id="14" w:name="_Toc468456380"/>
      <w:r w:rsidRPr="0029679C">
        <w:rPr>
          <w:rFonts w:ascii="Arial" w:eastAsia="Times New Roman" w:hAnsi="Arial" w:cs="Arial"/>
          <w:b/>
          <w:bCs/>
          <w:sz w:val="20"/>
          <w:szCs w:val="20"/>
        </w:rPr>
        <w:t xml:space="preserve">E24 Physical Man-Made </w:t>
      </w:r>
      <w:bookmarkEnd w:id="10"/>
      <w:bookmarkEnd w:id="11"/>
      <w:bookmarkEnd w:id="12"/>
      <w:bookmarkEnd w:id="13"/>
      <w:r w:rsidRPr="0029679C">
        <w:rPr>
          <w:rFonts w:ascii="Arial" w:eastAsia="Times New Roman" w:hAnsi="Arial" w:cs="Arial"/>
          <w:b/>
          <w:bCs/>
          <w:sz w:val="20"/>
          <w:szCs w:val="20"/>
        </w:rPr>
        <w:t>Thing</w:t>
      </w:r>
      <w:bookmarkEnd w:id="14"/>
    </w:p>
    <w:p w:rsidR="00AA7580" w:rsidRPr="0029679C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Subclass of:   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ab/>
      </w:r>
      <w:hyperlink r:id="rId7" w:anchor="_E18_Physical_Thing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E18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Physical Thing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8" w:anchor="_E71_Man-Made_Thing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E71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Man-Made Thing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Superclass of: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9" w:anchor="_E22_Man-Made_Object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E22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Man-Made Object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_E25_Man-Made_Feature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E25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Man-Made Feature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_E78_Collection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E78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Collection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>Scope Note: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ab/>
        <w:t xml:space="preserve">This class comprises all persistent physical items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are purposely created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by human activity.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Default="00AA7580" w:rsidP="00AA7580">
      <w:pPr>
        <w:autoSpaceDE w:val="0"/>
        <w:autoSpaceDN w:val="0"/>
        <w:spacing w:after="0" w:line="240" w:lineRule="auto"/>
        <w:ind w:left="1440" w:hanging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This class comprises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man-made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objects, such as a swords, and man-made features, such as rock art. No assumptions are made as to the extent of modification required to justify regarding an object as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man-made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. For example, a “cup and ring” carving on bedrock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is regarded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as instance of E24 Physical Man-Made Thing. </w:t>
      </w:r>
    </w:p>
    <w:p w:rsidR="00AA7580" w:rsidRDefault="00AA7580" w:rsidP="00AA7580">
      <w:pPr>
        <w:autoSpaceDE w:val="0"/>
        <w:autoSpaceDN w:val="0"/>
        <w:spacing w:after="0" w:line="240" w:lineRule="auto"/>
        <w:ind w:left="1440" w:hanging="2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highlight w:val="green"/>
        </w:rPr>
        <w:t>Instances of this class may</w:t>
      </w:r>
      <w:r w:rsidRPr="008D65D2">
        <w:rPr>
          <w:highlight w:val="green"/>
        </w:rPr>
        <w:t xml:space="preserve"> act as carriers of instances of E73 Information Object.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Examples: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4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Forth Railway Bridge (E22) 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4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Channel Tunnel (E25) 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Historical Collection of the Museum </w:t>
      </w:r>
      <w:proofErr w:type="spellStart"/>
      <w:r w:rsidRPr="0029679C">
        <w:rPr>
          <w:rFonts w:ascii="Times New Roman" w:eastAsia="Times New Roman" w:hAnsi="Times New Roman" w:cs="Times New Roman"/>
          <w:sz w:val="20"/>
          <w:szCs w:val="20"/>
        </w:rPr>
        <w:t>Benaki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in Athens (E78)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Rosetta Stone (E22)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paperback copy of Crime &amp; Punishment (E22)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(fictitious)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computer disk at ICS-FORTH that stores the canonical Definition of the CIDOC CRM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v.3.2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(E22)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empty DVD disk (E22)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(fictitious)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5A289A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</w:rPr>
      </w:pPr>
      <w:bookmarkStart w:id="15" w:name="_Toc40597320"/>
      <w:bookmarkStart w:id="16" w:name="_Toc40584307"/>
      <w:bookmarkStart w:id="17" w:name="_Toc40519316"/>
      <w:r w:rsidRPr="0029679C">
        <w:rPr>
          <w:rFonts w:ascii="Times New Roman" w:eastAsia="Times New Roman" w:hAnsi="Times New Roman" w:cs="Times New Roman"/>
          <w:sz w:val="20"/>
          <w:szCs w:val="24"/>
        </w:rPr>
        <w:lastRenderedPageBreak/>
        <w:t> </w:t>
      </w:r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</w:rPr>
        <w:t xml:space="preserve">Decision: agreed although will look for example of </w:t>
      </w:r>
      <w:proofErr w:type="spellStart"/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</w:rPr>
        <w:t>well known</w:t>
      </w:r>
      <w:proofErr w:type="spellEnd"/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</w:rPr>
        <w:t xml:space="preserve"> some sort of information bearing object that does not have information on it. E.g. empty blackboard HW to MD</w:t>
      </w:r>
    </w:p>
    <w:p w:rsidR="00AA7580" w:rsidRPr="005A289A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4"/>
        </w:rPr>
        <w:t>Addition of ref to E73 accepted.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oc25402930"/>
      <w:r w:rsidRPr="0029679C">
        <w:rPr>
          <w:rFonts w:ascii="Times New Roman" w:eastAsia="Times New Roman" w:hAnsi="Times New Roman" w:cs="Times New Roman"/>
          <w:sz w:val="20"/>
          <w:szCs w:val="20"/>
        </w:rPr>
        <w:t>In First Order Logic: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  <w:t xml:space="preserve">E24(x) </w:t>
      </w:r>
      <w:r w:rsidRPr="0029679C">
        <w:rPr>
          <w:rFonts w:ascii="Cambria Math" w:eastAsia="Times New Roman" w:hAnsi="Cambria Math" w:cs="Cambria Math"/>
          <w:sz w:val="20"/>
          <w:szCs w:val="20"/>
        </w:rPr>
        <w:t>⊃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E18(x)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E24(x) </w:t>
      </w:r>
      <w:r w:rsidRPr="0029679C">
        <w:rPr>
          <w:rFonts w:ascii="Cambria Math" w:eastAsia="Times New Roman" w:hAnsi="Cambria Math" w:cs="Cambria Math"/>
          <w:sz w:val="20"/>
          <w:szCs w:val="20"/>
          <w:lang w:val="de-DE"/>
        </w:rPr>
        <w:t>⊃</w:t>
      </w:r>
      <w:r w:rsidRPr="0029679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E71(x)</w:t>
      </w:r>
    </w:p>
    <w:p w:rsidR="00AA7580" w:rsidRPr="0029679C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  <w:lang w:val="de-DE"/>
        </w:rPr>
        <w:t>Properties:</w:t>
      </w:r>
      <w:bookmarkEnd w:id="15"/>
      <w:bookmarkEnd w:id="16"/>
      <w:bookmarkEnd w:id="17"/>
      <w:bookmarkEnd w:id="18"/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_P62_depicts_%28is_depicted%20by%29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P62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depicts (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4"/>
        </w:rPr>
        <w:t>is depicted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by): </w:t>
      </w:r>
      <w:hyperlink r:id="rId13" w:anchor="_E1_CRM_Entity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E1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CRM Entity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(P62.1 mode of depiction: </w:t>
      </w:r>
      <w:hyperlink r:id="rId14" w:anchor="_E55_Type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E55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Type)</w:t>
      </w:r>
    </w:p>
    <w:p w:rsidR="00AA7580" w:rsidRPr="0029679C" w:rsidRDefault="00AA7580" w:rsidP="00AA7580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_P65_shows_visual_item%20%28is%20shown%20by%29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P65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shows visual item (is shown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4"/>
        </w:rPr>
        <w:t>by):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hyperlink r:id="rId16" w:anchor="_E36_Visual_Item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</w:rPr>
          <w:t>E36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Visual Item</w:t>
      </w:r>
    </w:p>
    <w:p w:rsidR="00AA7580" w:rsidRPr="0029679C" w:rsidRDefault="00AA7580" w:rsidP="00AA7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4"/>
          <w:szCs w:val="24"/>
        </w:rPr>
        <w:br/>
      </w:r>
      <w:r w:rsidRPr="0029679C">
        <w:rPr>
          <w:rFonts w:ascii="Times New Roman" w:eastAsia="Times New Roman" w:hAnsi="Times New Roman" w:cs="Times New Roman"/>
          <w:b/>
          <w:bCs/>
          <w:sz w:val="24"/>
          <w:szCs w:val="24"/>
        </w:rPr>
        <w:t>Scope Note extension:</w:t>
      </w:r>
    </w:p>
    <w:p w:rsidR="00AA7580" w:rsidRPr="0029679C" w:rsidRDefault="00AA7580" w:rsidP="00AA7580">
      <w:pPr>
        <w:keepNext/>
        <w:widowControl w:val="0"/>
        <w:autoSpaceDE w:val="0"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Toc460308482"/>
      <w:bookmarkStart w:id="20" w:name="_Toc25402931"/>
      <w:bookmarkStart w:id="21" w:name="_Toc40519317"/>
      <w:bookmarkStart w:id="22" w:name="_Toc40584308"/>
      <w:bookmarkStart w:id="23" w:name="_Toc40597321"/>
      <w:bookmarkStart w:id="24" w:name="_Toc468456381"/>
      <w:r w:rsidRPr="0029679C">
        <w:rPr>
          <w:rFonts w:ascii="Arial" w:eastAsia="Times New Roman" w:hAnsi="Arial" w:cs="Arial"/>
          <w:b/>
          <w:bCs/>
          <w:sz w:val="20"/>
          <w:szCs w:val="20"/>
        </w:rPr>
        <w:t>E25 Man-Made Feature</w:t>
      </w:r>
      <w:bookmarkEnd w:id="19"/>
      <w:bookmarkEnd w:id="20"/>
      <w:bookmarkEnd w:id="21"/>
      <w:bookmarkEnd w:id="22"/>
      <w:bookmarkEnd w:id="23"/>
      <w:bookmarkEnd w:id="24"/>
    </w:p>
    <w:p w:rsidR="00AA7580" w:rsidRPr="0029679C" w:rsidRDefault="00AA7580" w:rsidP="00AA7580">
      <w:pPr>
        <w:widowControl w:val="0"/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Subclass of:   </w:t>
      </w:r>
      <w:r w:rsidRPr="0029679C">
        <w:rPr>
          <w:rFonts w:ascii="Times New Roman" w:eastAsia="Times New Roman" w:hAnsi="Times New Roman" w:cs="Times New Roman"/>
          <w:sz w:val="20"/>
          <w:szCs w:val="24"/>
        </w:rPr>
        <w:tab/>
      </w:r>
      <w:hyperlink r:id="rId17" w:anchor="_E24_Physical_Man-Made_Thing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E24</w:t>
        </w:r>
      </w:hyperlink>
      <w:r w:rsidRPr="0029679C">
        <w:rPr>
          <w:rFonts w:ascii="Times New Roman" w:eastAsia="Times New Roman" w:hAnsi="Times New Roman" w:cs="Times New Roman"/>
          <w:sz w:val="20"/>
          <w:szCs w:val="24"/>
        </w:rPr>
        <w:t xml:space="preserve"> Physical Man-Made Thing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_E26_Physical_Feature" w:history="1">
        <w:r w:rsidRPr="002967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E26</w:t>
        </w:r>
      </w:hyperlink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Physical Feature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Scope Note: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  <w:t xml:space="preserve">This class comprises physical features that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are purposely created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by human activity, such as scratches, artificial caves, artificial water channels, etc. </w:t>
      </w:r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>In particular</w:t>
      </w:r>
      <w:r>
        <w:rPr>
          <w:rFonts w:ascii="Times New Roman" w:eastAsia="Times New Roman" w:hAnsi="Times New Roman" w:cs="Times New Roman"/>
          <w:sz w:val="20"/>
          <w:szCs w:val="20"/>
          <w:highlight w:val="green"/>
        </w:rPr>
        <w:t>,</w:t>
      </w:r>
      <w:r w:rsidRPr="0029679C">
        <w:rPr>
          <w:rFonts w:ascii="Times New Roman" w:eastAsia="Times New Roman" w:hAnsi="Times New Roman" w:cs="Times New Roman"/>
          <w:sz w:val="20"/>
          <w:szCs w:val="20"/>
          <w:highlight w:val="green"/>
        </w:rPr>
        <w:t xml:space="preserve"> it includes the information encoding features on mechanical or digital carriers.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7580" w:rsidRPr="0029679C" w:rsidRDefault="00AA7580" w:rsidP="00AA7580">
      <w:pPr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No assumptions are made as to the extent of modification required to justify regarding a feature as </w:t>
      </w:r>
      <w:proofErr w:type="gramStart"/>
      <w:r w:rsidRPr="0029679C">
        <w:rPr>
          <w:rFonts w:ascii="Times New Roman" w:eastAsia="Times New Roman" w:hAnsi="Times New Roman" w:cs="Times New Roman"/>
          <w:sz w:val="20"/>
          <w:szCs w:val="20"/>
        </w:rPr>
        <w:t>man-made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. For example, rock art or even “cup and ring” carvings on bedrock a regarded as types of E25 Man-Made Feature. 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Examples: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Manchester Ship Canal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Michael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Jackson’s nose following plastic surgery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laser-readable “pits” engraved June 2014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Martin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Doerr’s</w:t>
      </w:r>
      <w:proofErr w:type="spell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CD-R, copying songs of Edith Piaf’s. </w:t>
      </w:r>
    </w:p>
    <w:p w:rsidR="00AA7580" w:rsidRPr="0029679C" w:rsidRDefault="00AA7580" w:rsidP="00AA7580">
      <w:pPr>
        <w:widowControl w:val="0"/>
        <w:tabs>
          <w:tab w:val="num" w:pos="1800"/>
        </w:tabs>
        <w:autoSpaceDE w:val="0"/>
        <w:autoSpaceDN w:val="0"/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Wingdings" w:eastAsia="Wingdings" w:hAnsi="Wingdings" w:cs="Wingdings"/>
          <w:sz w:val="20"/>
          <w:szCs w:val="20"/>
          <w:highlight w:val="green"/>
        </w:rPr>
        <w:t></w:t>
      </w:r>
      <w:proofErr w:type="gramStart"/>
      <w:r w:rsidRPr="0029679C">
        <w:rPr>
          <w:rFonts w:ascii="Times New Roman" w:eastAsia="Wingdings" w:hAnsi="Times New Roman" w:cs="Times New Roman"/>
          <w:sz w:val="14"/>
          <w:szCs w:val="14"/>
          <w:highlight w:val="green"/>
        </w:rPr>
        <w:t xml:space="preserve">  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carved letters on the Rosetta Stone</w:t>
      </w:r>
    </w:p>
    <w:p w:rsidR="00AA7580" w:rsidRPr="005A289A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</w:rPr>
        <w:t>decision</w:t>
      </w:r>
      <w:proofErr w:type="gramEnd"/>
      <w:r w:rsidRPr="005A289A">
        <w:rPr>
          <w:rFonts w:ascii="Times New Roman" w:eastAsia="Times New Roman" w:hAnsi="Times New Roman" w:cs="Times New Roman"/>
          <w:color w:val="2E74B5" w:themeColor="accent1" w:themeShade="BF"/>
          <w:sz w:val="20"/>
          <w:szCs w:val="20"/>
        </w:rPr>
        <w:t>: agreed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>In First Order Logic: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  <w:t xml:space="preserve">E25(x) </w:t>
      </w:r>
      <w:r w:rsidRPr="0029679C">
        <w:rPr>
          <w:rFonts w:ascii="Cambria Math" w:eastAsia="Times New Roman" w:hAnsi="Cambria Math" w:cs="Cambria Math"/>
          <w:sz w:val="20"/>
          <w:szCs w:val="20"/>
        </w:rPr>
        <w:t>⊃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E26(x)</w:t>
      </w:r>
    </w:p>
    <w:p w:rsidR="00AA7580" w:rsidRPr="0029679C" w:rsidRDefault="00AA7580" w:rsidP="00AA7580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9C">
        <w:rPr>
          <w:rFonts w:ascii="Times New Roman" w:eastAsia="Times New Roman" w:hAnsi="Times New Roman" w:cs="Times New Roman"/>
          <w:sz w:val="20"/>
          <w:szCs w:val="20"/>
        </w:rPr>
        <w:tab/>
      </w:r>
      <w:r w:rsidRPr="0029679C">
        <w:rPr>
          <w:rFonts w:ascii="Times New Roman" w:eastAsia="Times New Roman" w:hAnsi="Times New Roman" w:cs="Times New Roman"/>
          <w:sz w:val="20"/>
          <w:szCs w:val="20"/>
        </w:rPr>
        <w:tab/>
        <w:t xml:space="preserve">     E25(x) </w:t>
      </w:r>
      <w:r w:rsidRPr="0029679C">
        <w:rPr>
          <w:rFonts w:ascii="Cambria Math" w:eastAsia="Times New Roman" w:hAnsi="Cambria Math" w:cs="Cambria Math"/>
          <w:sz w:val="20"/>
          <w:szCs w:val="20"/>
        </w:rPr>
        <w:t>⊃</w:t>
      </w:r>
      <w:r w:rsidRPr="0029679C">
        <w:rPr>
          <w:rFonts w:ascii="Times New Roman" w:eastAsia="Times New Roman" w:hAnsi="Times New Roman" w:cs="Times New Roman"/>
          <w:sz w:val="20"/>
          <w:szCs w:val="20"/>
        </w:rPr>
        <w:t xml:space="preserve"> E24(x)</w:t>
      </w:r>
    </w:p>
    <w:p w:rsidR="00AA7580" w:rsidRDefault="00AA7580" w:rsidP="00AA7580">
      <w:pPr>
        <w:rPr>
          <w:rFonts w:eastAsia="Times New Roman" w:cstheme="minorHAnsi"/>
          <w:color w:val="444444"/>
          <w:sz w:val="32"/>
          <w:szCs w:val="32"/>
        </w:rPr>
      </w:pPr>
    </w:p>
    <w:p w:rsidR="00F86067" w:rsidRDefault="00F86067">
      <w:bookmarkStart w:id="25" w:name="_GoBack"/>
      <w:bookmarkEnd w:id="25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0"/>
    <w:rsid w:val="0045570D"/>
    <w:rsid w:val="005A5B94"/>
    <w:rsid w:val="00AA7580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1D7E7-0903-4A5F-BF99-82E4EDB9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AA7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75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3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8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2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7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2" Type="http://schemas.openxmlformats.org/officeDocument/2006/relationships/settings" Target="settings.xml"/><Relationship Id="rId16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gitale-sammlungen.de/" TargetMode="External"/><Relationship Id="rId11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5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5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0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9" Type="http://schemas.openxmlformats.org/officeDocument/2006/relationships/hyperlink" Target="mailbox://C:/Users/bekiari/AppData/Roaming/Thunderbird/Profiles/xyho8tm5.default/Mail/Local%20Folders/CIDOC-FRBR.sbd/Issues%20CIDOCa31b0e59?number=117105231" TargetMode="External"/><Relationship Id="rId14" Type="http://schemas.openxmlformats.org/officeDocument/2006/relationships/hyperlink" Target="mailbox://C:/Users/bekiari/AppData/Roaming/Thunderbird/Profiles/xyho8tm5.default/Mail/Local%20Folders/CIDOC-FRBR.sbd/Issues%20CIDOCa31b0e59?number=117105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1</cp:revision>
  <dcterms:created xsi:type="dcterms:W3CDTF">2018-04-29T16:35:00Z</dcterms:created>
  <dcterms:modified xsi:type="dcterms:W3CDTF">2018-04-29T16:35:00Z</dcterms:modified>
</cp:coreProperties>
</file>