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881" w:rsidRPr="00852281" w:rsidRDefault="009E7881" w:rsidP="009E7881">
      <w:pPr>
        <w:pStyle w:val="Heading1"/>
        <w:rPr>
          <w:rFonts w:eastAsia="Times New Roman"/>
        </w:rPr>
      </w:pPr>
      <w:r>
        <w:rPr>
          <w:rFonts w:eastAsia="Times New Roman"/>
        </w:rPr>
        <w:t>Appendix G– 312 geopolitical unit</w:t>
      </w:r>
    </w:p>
    <w:p w:rsidR="009E7881" w:rsidRPr="0057462B" w:rsidRDefault="009E7881" w:rsidP="009E7881">
      <w:pPr>
        <w:pStyle w:val="Heading3"/>
        <w:rPr>
          <w:szCs w:val="20"/>
        </w:rPr>
      </w:pPr>
      <w:bookmarkStart w:id="0" w:name="_Toc495266760"/>
      <w:r w:rsidRPr="0057462B">
        <w:t>E4 Period</w:t>
      </w:r>
      <w:bookmarkEnd w:id="0"/>
    </w:p>
    <w:p w:rsidR="009E7881" w:rsidRDefault="009E7881" w:rsidP="009E7881">
      <w:pPr>
        <w:pStyle w:val="FootnoteText"/>
      </w:pPr>
      <w:r w:rsidRPr="0057462B">
        <w:t xml:space="preserve">Subclass of:   </w:t>
      </w:r>
      <w:r w:rsidRPr="0057462B">
        <w:tab/>
      </w:r>
      <w:hyperlink w:anchor="_E2_Temporal_Entity" w:history="1">
        <w:r w:rsidRPr="0057462B">
          <w:rPr>
            <w:rStyle w:val="Hyperlink"/>
          </w:rPr>
          <w:t>E2</w:t>
        </w:r>
      </w:hyperlink>
      <w:r w:rsidRPr="0057462B">
        <w:t xml:space="preserve"> Temporal Entity</w:t>
      </w:r>
    </w:p>
    <w:p w:rsidR="009E7881" w:rsidRPr="0057462B" w:rsidRDefault="009E7881" w:rsidP="009E7881">
      <w:pPr>
        <w:pStyle w:val="FootnoteText"/>
      </w:pPr>
      <w:r>
        <w:t>Subclass of</w:t>
      </w:r>
      <w:r>
        <w:tab/>
      </w:r>
      <w:hyperlink w:anchor="_E91_Co-Reference_Assignment" w:history="1">
        <w:r w:rsidRPr="00CF00DE">
          <w:rPr>
            <w:rStyle w:val="Hyperlink"/>
          </w:rPr>
          <w:t>E92</w:t>
        </w:r>
      </w:hyperlink>
      <w:r>
        <w:t xml:space="preserve"> </w:t>
      </w:r>
      <w:proofErr w:type="spellStart"/>
      <w:r>
        <w:t>Spacetime</w:t>
      </w:r>
      <w:proofErr w:type="spellEnd"/>
      <w:r>
        <w:t xml:space="preserve"> volume</w:t>
      </w:r>
    </w:p>
    <w:p w:rsidR="009E7881" w:rsidRPr="0057462B" w:rsidRDefault="009E7881" w:rsidP="009E7881">
      <w:pPr>
        <w:pStyle w:val="FootnoteText"/>
      </w:pPr>
      <w:r w:rsidRPr="0057462B">
        <w:t xml:space="preserve">Superclass of: </w:t>
      </w:r>
      <w:r w:rsidRPr="0057462B">
        <w:tab/>
      </w:r>
      <w:hyperlink w:anchor="_E5_Event" w:history="1">
        <w:r w:rsidRPr="0057462B">
          <w:rPr>
            <w:rStyle w:val="Hyperlink"/>
          </w:rPr>
          <w:t>E5</w:t>
        </w:r>
      </w:hyperlink>
      <w:r w:rsidRPr="0057462B">
        <w:t xml:space="preserve"> Event</w:t>
      </w:r>
    </w:p>
    <w:p w:rsidR="009E7881" w:rsidRPr="0057462B" w:rsidRDefault="009E7881" w:rsidP="009E7881">
      <w:pPr>
        <w:rPr>
          <w:szCs w:val="20"/>
        </w:rPr>
      </w:pPr>
      <w:r w:rsidRPr="0057462B">
        <w:rPr>
          <w:szCs w:val="20"/>
        </w:rPr>
        <w:t xml:space="preserve"> </w:t>
      </w:r>
    </w:p>
    <w:p w:rsidR="009E7881" w:rsidRPr="00D45784" w:rsidRDefault="009E7881" w:rsidP="009E7881">
      <w:pPr>
        <w:pStyle w:val="BodyTextIndent"/>
        <w:ind w:left="1440" w:hanging="1440"/>
      </w:pPr>
      <w:r w:rsidRPr="00CC49BB">
        <w:t>Scope note:</w:t>
      </w:r>
      <w:r>
        <w:tab/>
      </w:r>
      <w:r w:rsidRPr="00D45784">
        <w:t>This class comprises sets of coherent phenomena or cultural manifestations occurring in time and space.</w:t>
      </w:r>
    </w:p>
    <w:p w:rsidR="009E7881" w:rsidRPr="00CC49BB" w:rsidRDefault="009E7881" w:rsidP="009E7881">
      <w:pPr>
        <w:pStyle w:val="BodyTextIndent"/>
        <w:ind w:left="1440"/>
      </w:pPr>
      <w:proofErr w:type="gramStart"/>
      <w:r w:rsidRPr="00CC49BB">
        <w:t>It is the social or physical coherence of these phenomena that identify an E4 Period and not the associated spatiotemporal extent.</w:t>
      </w:r>
      <w:proofErr w:type="gramEnd"/>
      <w:r w:rsidRPr="00CC49BB">
        <w:t xml:space="preserve"> This extent is only the “ground” or space in an abstract physical sense that the actual process of growth, spread and retreat has covered. Consequently, different periods can overlap and coexist in time and space, such as when a nomadic culture exists in the same area and time as a sedentary culture. This also means that overlapping land use rights, common among first nations, amounts to overlapping periods.</w:t>
      </w:r>
    </w:p>
    <w:p w:rsidR="009E7881" w:rsidRPr="00F323C4" w:rsidRDefault="009E7881" w:rsidP="009E7881">
      <w:pPr>
        <w:pStyle w:val="BodyTextIndent"/>
        <w:ind w:left="1440"/>
      </w:pPr>
      <w:r>
        <w:t>Often,</w:t>
      </w:r>
      <w:r w:rsidRPr="00CC49BB">
        <w:t xml:space="preserve"> this class </w:t>
      </w:r>
      <w:proofErr w:type="gramStart"/>
      <w:r w:rsidRPr="00CC49BB">
        <w:t>is used</w:t>
      </w:r>
      <w:proofErr w:type="gramEnd"/>
      <w:r w:rsidRPr="00CC49BB">
        <w:t xml:space="preserve"> to describe prehistoric or historic periods such as the “Neolithic Period”, the “Ming Dynasty” or the “McCarthy Era”, but also geopolitical units and activities of settlements are regarded as special cases of E4 Period.</w:t>
      </w:r>
      <w:r>
        <w:t xml:space="preserve"> However, t</w:t>
      </w:r>
      <w:r w:rsidRPr="00F323C4">
        <w:t xml:space="preserve">here are no assumptions about the scale of the associated phenomena. In </w:t>
      </w:r>
      <w:proofErr w:type="gramStart"/>
      <w:r w:rsidRPr="00F323C4">
        <w:t>particular</w:t>
      </w:r>
      <w:proofErr w:type="gramEnd"/>
      <w:r w:rsidRPr="00F323C4">
        <w:t xml:space="preserve"> all events are seen as synthetic processes consisting of coherent phenomena. </w:t>
      </w:r>
      <w:proofErr w:type="gramStart"/>
      <w:r w:rsidRPr="00F323C4">
        <w:t>Therefore</w:t>
      </w:r>
      <w:proofErr w:type="gramEnd"/>
      <w:r w:rsidRPr="00F323C4">
        <w:t xml:space="preserve"> E4 Period is a superclass of E5 Event. For example, a modern clinical E67 Birth </w:t>
      </w:r>
      <w:proofErr w:type="gramStart"/>
      <w:r w:rsidRPr="00F323C4">
        <w:t>can be seen</w:t>
      </w:r>
      <w:proofErr w:type="gramEnd"/>
      <w:r w:rsidRPr="00F323C4">
        <w:t xml:space="preserve"> as both an atomic E5 Event and as an E4 Period that consists of multiple activities performed by multiple instances of E39 Actor.</w:t>
      </w:r>
    </w:p>
    <w:p w:rsidR="009E7881" w:rsidRPr="00D45784" w:rsidRDefault="009E7881" w:rsidP="009E7881">
      <w:pPr>
        <w:pStyle w:val="BodyTextIndent"/>
        <w:ind w:left="1440"/>
      </w:pPr>
      <w:r w:rsidRPr="00D45784">
        <w:t xml:space="preserve">As the actual extent of an E4 Period in </w:t>
      </w:r>
      <w:proofErr w:type="spellStart"/>
      <w:proofErr w:type="gramStart"/>
      <w:r w:rsidRPr="00D45784">
        <w:t>spacetime</w:t>
      </w:r>
      <w:proofErr w:type="spellEnd"/>
      <w:proofErr w:type="gramEnd"/>
      <w:r w:rsidRPr="00D45784">
        <w:t xml:space="preserve"> we regard the trajectories of the participating physical things during their participation in an instance of E4 Period. This includes the open spaces via which these things have interacted and the spaces by which they had the potential to interact during that period or event in the way defined by the type of the respective period or event. Examples include the air in a meeting room transferring the voices of the participants. Since these phenomena are fuzzy, we assume the spatiotemporal extent to be contiguous, except for cases of phenomena spreading out over islands or other separated areas, including geopolitical units distributed over disconnected areas such as islands or colonies.</w:t>
      </w:r>
    </w:p>
    <w:p w:rsidR="009E7881" w:rsidRPr="00CC49BB" w:rsidRDefault="009E7881" w:rsidP="009E7881">
      <w:pPr>
        <w:pStyle w:val="BodyTextIndent"/>
        <w:ind w:left="1440"/>
      </w:pPr>
    </w:p>
    <w:p w:rsidR="009E7881" w:rsidRPr="00CC49BB" w:rsidRDefault="009E7881" w:rsidP="009E7881">
      <w:pPr>
        <w:pStyle w:val="BodyTextIndent"/>
        <w:ind w:left="1440"/>
      </w:pPr>
      <w:r w:rsidRPr="00CC49BB">
        <w:t xml:space="preserve">Whether the trajectories necessary for participants to travel between these areas </w:t>
      </w:r>
      <w:proofErr w:type="gramStart"/>
      <w:r w:rsidRPr="00CC49BB">
        <w:t>are regarded</w:t>
      </w:r>
      <w:proofErr w:type="gramEnd"/>
      <w:r w:rsidRPr="00CC49BB">
        <w:t xml:space="preserve"> as part of the spatiotemporal extent or not has to be decided in each case based on a concrete analysis, taking use of the sea for other purposes than travel, such as fishing, into consideration. One may also argue that the activities to govern disconnected areas imply travelling through spaces connecting them and that these areas hence are spatially connected in a way, but it appears counterintuitive to consider for instance travel routes in international waters as extensions of geopolitical units.</w:t>
      </w:r>
    </w:p>
    <w:p w:rsidR="009E7881" w:rsidRPr="00CC49BB" w:rsidRDefault="009E7881" w:rsidP="009E7881">
      <w:pPr>
        <w:pStyle w:val="BodyTextIndent"/>
        <w:ind w:left="1440"/>
      </w:pPr>
    </w:p>
    <w:p w:rsidR="009E7881" w:rsidRPr="00CC49BB" w:rsidRDefault="009E7881" w:rsidP="009E7881">
      <w:pPr>
        <w:pStyle w:val="BodyTextIndent"/>
        <w:ind w:left="1440"/>
      </w:pPr>
      <w:r w:rsidRPr="00CC49BB">
        <w:t xml:space="preserve">Consequently, </w:t>
      </w:r>
      <w:r>
        <w:t xml:space="preserve">an </w:t>
      </w:r>
      <w:r w:rsidRPr="00CC49BB">
        <w:t xml:space="preserve">instance of E4 Period may occupy a number of disjoint </w:t>
      </w:r>
      <w:proofErr w:type="spellStart"/>
      <w:r w:rsidRPr="00CC49BB">
        <w:t>spacetime</w:t>
      </w:r>
      <w:proofErr w:type="spellEnd"/>
      <w:r w:rsidRPr="00CC49BB">
        <w:t xml:space="preserve"> </w:t>
      </w:r>
      <w:proofErr w:type="gramStart"/>
      <w:r w:rsidRPr="00CC49BB">
        <w:t>volumes,</w:t>
      </w:r>
      <w:proofErr w:type="gramEnd"/>
      <w:r w:rsidRPr="00CC49BB">
        <w:t xml:space="preserve"> however there must not be a discontinuity in the timespan covered by these </w:t>
      </w:r>
      <w:proofErr w:type="spellStart"/>
      <w:r w:rsidRPr="00CC49BB">
        <w:t>spacetime</w:t>
      </w:r>
      <w:proofErr w:type="spellEnd"/>
      <w:r w:rsidRPr="00CC49BB">
        <w:t xml:space="preserve"> volumes. </w:t>
      </w:r>
      <w:r>
        <w:t>This means that a</w:t>
      </w:r>
      <w:r w:rsidRPr="00CC49BB">
        <w:t xml:space="preserve">n instance of E4 Period must be contiguous in time. </w:t>
      </w:r>
      <w:r>
        <w:t>I</w:t>
      </w:r>
      <w:r w:rsidRPr="00CC49BB">
        <w:t>f it has ended in all areas, it has ended as a whole</w:t>
      </w:r>
      <w:r>
        <w:t>.</w:t>
      </w:r>
      <w:r w:rsidRPr="00CC49BB">
        <w:t xml:space="preserve"> </w:t>
      </w:r>
      <w:proofErr w:type="gramStart"/>
      <w:r>
        <w:t>However</w:t>
      </w:r>
      <w:proofErr w:type="gramEnd"/>
      <w:r w:rsidRPr="00CC49BB">
        <w:t xml:space="preserve"> it may </w:t>
      </w:r>
      <w:r>
        <w:t>end in</w:t>
      </w:r>
      <w:r w:rsidRPr="00CC49BB">
        <w:t xml:space="preserve"> one area </w:t>
      </w:r>
      <w:r>
        <w:t>before</w:t>
      </w:r>
      <w:r w:rsidRPr="00CC49BB">
        <w:t xml:space="preserve"> another, such as </w:t>
      </w:r>
      <w:r>
        <w:t xml:space="preserve">in </w:t>
      </w:r>
      <w:r w:rsidRPr="00CC49BB">
        <w:t xml:space="preserve">the Polynesian migration, </w:t>
      </w:r>
      <w:r>
        <w:t xml:space="preserve">and it continues </w:t>
      </w:r>
      <w:r w:rsidRPr="00CC49BB">
        <w:t xml:space="preserve">as long as it is ongoing </w:t>
      </w:r>
      <w:r>
        <w:t xml:space="preserve">in </w:t>
      </w:r>
      <w:r w:rsidRPr="00CC49BB">
        <w:t>at least one area.</w:t>
      </w:r>
    </w:p>
    <w:p w:rsidR="009E7881" w:rsidRPr="00CC49BB" w:rsidRDefault="009E7881" w:rsidP="009E7881">
      <w:pPr>
        <w:pStyle w:val="BodyTextIndent"/>
        <w:ind w:left="1440"/>
      </w:pPr>
    </w:p>
    <w:p w:rsidR="009E7881" w:rsidRPr="00CC49BB" w:rsidRDefault="009E7881" w:rsidP="009E7881">
      <w:pPr>
        <w:pStyle w:val="BodyTextIndent"/>
        <w:ind w:left="1440"/>
      </w:pPr>
      <w:r w:rsidRPr="00CC49BB">
        <w:t xml:space="preserve">We model E4 Period as a subclass of E2 Temporal Entity and of E92 </w:t>
      </w:r>
      <w:proofErr w:type="spellStart"/>
      <w:r w:rsidRPr="00CC49BB">
        <w:t>Spacetime</w:t>
      </w:r>
      <w:proofErr w:type="spellEnd"/>
      <w:r w:rsidRPr="00CC49BB">
        <w:t xml:space="preserve"> volume. The latter is intended as a phenomenal </w:t>
      </w:r>
      <w:proofErr w:type="spellStart"/>
      <w:r w:rsidRPr="00CC49BB">
        <w:t>spacetime</w:t>
      </w:r>
      <w:proofErr w:type="spellEnd"/>
      <w:r w:rsidRPr="00CC49BB">
        <w:t xml:space="preserve"> volume as defined in </w:t>
      </w:r>
      <w:proofErr w:type="spellStart"/>
      <w:r w:rsidRPr="00CC49BB">
        <w:t>CRMgeo</w:t>
      </w:r>
      <w:proofErr w:type="spellEnd"/>
      <w:r w:rsidRPr="00CC49BB">
        <w:t xml:space="preserve"> (</w:t>
      </w:r>
      <w:proofErr w:type="spellStart"/>
      <w:r w:rsidRPr="00CC49BB">
        <w:t>Doerr</w:t>
      </w:r>
      <w:proofErr w:type="spellEnd"/>
      <w:r w:rsidRPr="00CC49BB">
        <w:t xml:space="preserve"> and </w:t>
      </w:r>
      <w:proofErr w:type="spellStart"/>
      <w:r w:rsidRPr="00CC49BB">
        <w:t>Hiebel</w:t>
      </w:r>
      <w:proofErr w:type="spellEnd"/>
      <w:r w:rsidRPr="00CC49BB">
        <w:t xml:space="preserve"> 2013). By virtue of this multiple </w:t>
      </w:r>
      <w:proofErr w:type="gramStart"/>
      <w:r w:rsidRPr="00CC49BB">
        <w:t>inheritance</w:t>
      </w:r>
      <w:proofErr w:type="gramEnd"/>
      <w:r w:rsidRPr="00CC49BB">
        <w:t xml:space="preserve"> we can discuss the physical extent of an E4 Period without representing each instance of it together with an instance of its associated </w:t>
      </w:r>
      <w:proofErr w:type="spellStart"/>
      <w:r w:rsidRPr="00CC49BB">
        <w:t>spacetime</w:t>
      </w:r>
      <w:proofErr w:type="spellEnd"/>
      <w:r w:rsidRPr="00CC49BB">
        <w:t xml:space="preserve"> volume. This model combines two quite different kinds of substance: an instance of E4 Period is a </w:t>
      </w:r>
      <w:proofErr w:type="gramStart"/>
      <w:r w:rsidRPr="00CC49BB">
        <w:t>phenomena</w:t>
      </w:r>
      <w:proofErr w:type="gramEnd"/>
      <w:r w:rsidRPr="00CC49BB">
        <w:t xml:space="preserve"> while a </w:t>
      </w:r>
      <w:proofErr w:type="spellStart"/>
      <w:r w:rsidRPr="00CC49BB">
        <w:t>spacetime</w:t>
      </w:r>
      <w:proofErr w:type="spellEnd"/>
      <w:r w:rsidRPr="00CC49BB">
        <w:t xml:space="preserve"> volume is an aggregation of points in </w:t>
      </w:r>
      <w:proofErr w:type="spellStart"/>
      <w:r w:rsidRPr="00CC49BB">
        <w:t>spacetime</w:t>
      </w:r>
      <w:proofErr w:type="spellEnd"/>
      <w:r w:rsidRPr="00CC49BB">
        <w:t xml:space="preserve">. However, the real spatiotemporal extent of an instance of E4 Period </w:t>
      </w:r>
      <w:proofErr w:type="gramStart"/>
      <w:r w:rsidRPr="00CC49BB">
        <w:t>is regarded</w:t>
      </w:r>
      <w:proofErr w:type="gramEnd"/>
      <w:r w:rsidRPr="00CC49BB">
        <w:t xml:space="preserve"> to be unique to it due to all its details and fuzziness; its identity and existence depends uniquely on the identity of the instance of E4 Period. </w:t>
      </w:r>
      <w:proofErr w:type="gramStart"/>
      <w:r w:rsidRPr="00CC49BB">
        <w:t>Therefore</w:t>
      </w:r>
      <w:proofErr w:type="gramEnd"/>
      <w:r w:rsidRPr="00CC49BB">
        <w:t xml:space="preserve"> this multiple inheritance is unambiguous and effective and furthermore corresponds to the intuitions of natural language.</w:t>
      </w:r>
    </w:p>
    <w:p w:rsidR="009E7881" w:rsidRPr="00CC49BB" w:rsidRDefault="009E7881" w:rsidP="009E7881">
      <w:pPr>
        <w:pStyle w:val="BodyTextIndent"/>
        <w:ind w:left="1440"/>
      </w:pPr>
    </w:p>
    <w:p w:rsidR="009E7881" w:rsidRPr="00CC49BB" w:rsidRDefault="009E7881" w:rsidP="009E7881">
      <w:pPr>
        <w:pStyle w:val="BodyTextIndent"/>
        <w:ind w:left="1440"/>
      </w:pPr>
      <w:r w:rsidRPr="00CC49BB">
        <w:t xml:space="preserve">There are two different conceptualisations of ‘artistic style’, defined either by physical features or by historical context. For example, </w:t>
      </w:r>
      <w:proofErr w:type="gramStart"/>
      <w:r w:rsidRPr="00CC49BB">
        <w:t>“Impressionism” can be viewed as a period lasting from approximately 1870 to 1905 during which paintings with particular characteristics were produced by a group of artists that included (among others) Monet, Renoir, Pissarro, Sisley and Degas</w:t>
      </w:r>
      <w:proofErr w:type="gramEnd"/>
      <w:r w:rsidRPr="00CC49BB">
        <w:t xml:space="preserve">. Alternatively, it </w:t>
      </w:r>
      <w:proofErr w:type="gramStart"/>
      <w:r w:rsidRPr="00CC49BB">
        <w:t>can be regarded</w:t>
      </w:r>
      <w:proofErr w:type="gramEnd"/>
      <w:r w:rsidRPr="00CC49BB">
        <w:t xml:space="preserve"> as a style applicable to all paintings sharing the characteristics of the works produced by the Impressionist painters, regardless of historical context. The first interpretation is an </w:t>
      </w:r>
      <w:r>
        <w:t xml:space="preserve">instance of </w:t>
      </w:r>
      <w:r w:rsidRPr="00CC49BB">
        <w:t>E4 Period, and the second defines morphological object types that fall under E55 Type.</w:t>
      </w:r>
    </w:p>
    <w:p w:rsidR="009E7881" w:rsidRPr="00743BA5" w:rsidRDefault="009E7881" w:rsidP="009E7881">
      <w:pPr>
        <w:pStyle w:val="BodyTextIndent"/>
        <w:widowControl w:val="0"/>
        <w:ind w:left="1440"/>
        <w:rPr>
          <w:b/>
          <w:i/>
          <w:color w:val="2E74B5" w:themeColor="accent1" w:themeShade="BF"/>
          <w:lang w:val="en-US"/>
        </w:rPr>
      </w:pPr>
      <w:r w:rsidRPr="00743BA5">
        <w:rPr>
          <w:b/>
          <w:i/>
          <w:color w:val="2E74B5" w:themeColor="accent1" w:themeShade="BF"/>
          <w:lang w:val="en-US"/>
        </w:rPr>
        <w:t xml:space="preserve">A geopolitical unit as a specific case of an E4 Period is the set of activities and phenomena related to the claim of power, the consequences of belonging to a jurisdictional area and an administrative system that establishes a geopolitical unit. Examples from the modern period are countries or administrative areas of countries such as districts whose actions and structures define activities and phenomena in the area that they intend to govern. The borders of geopolitical units </w:t>
      </w:r>
      <w:proofErr w:type="gramStart"/>
      <w:r w:rsidRPr="00743BA5">
        <w:rPr>
          <w:b/>
          <w:i/>
          <w:color w:val="2E74B5" w:themeColor="accent1" w:themeShade="BF"/>
          <w:lang w:val="en-US"/>
        </w:rPr>
        <w:t>are often defined</w:t>
      </w:r>
      <w:proofErr w:type="gramEnd"/>
      <w:r w:rsidRPr="00743BA5">
        <w:rPr>
          <w:b/>
          <w:i/>
          <w:color w:val="2E74B5" w:themeColor="accent1" w:themeShade="BF"/>
          <w:lang w:val="en-US"/>
        </w:rPr>
        <w:t xml:space="preserve"> in contracts or treaties although they may deviate from the actual practice. The spatiotemporal properties of Geopolitical units </w:t>
      </w:r>
      <w:proofErr w:type="gramStart"/>
      <w:r w:rsidRPr="00743BA5">
        <w:rPr>
          <w:b/>
          <w:i/>
          <w:color w:val="2E74B5" w:themeColor="accent1" w:themeShade="BF"/>
          <w:lang w:val="en-US"/>
        </w:rPr>
        <w:t>can be modelled</w:t>
      </w:r>
      <w:proofErr w:type="gramEnd"/>
      <w:r w:rsidRPr="00743BA5">
        <w:rPr>
          <w:b/>
          <w:i/>
          <w:color w:val="2E74B5" w:themeColor="accent1" w:themeShade="BF"/>
          <w:lang w:val="en-US"/>
        </w:rPr>
        <w:t xml:space="preserve"> through the properties inherited from E92 </w:t>
      </w:r>
      <w:proofErr w:type="spellStart"/>
      <w:r w:rsidRPr="00743BA5">
        <w:rPr>
          <w:b/>
          <w:i/>
          <w:color w:val="2E74B5" w:themeColor="accent1" w:themeShade="BF"/>
          <w:lang w:val="en-US"/>
        </w:rPr>
        <w:t>Spacetime</w:t>
      </w:r>
      <w:proofErr w:type="spellEnd"/>
      <w:r w:rsidRPr="00743BA5">
        <w:rPr>
          <w:b/>
          <w:i/>
          <w:color w:val="2E74B5" w:themeColor="accent1" w:themeShade="BF"/>
          <w:lang w:val="en-US"/>
        </w:rPr>
        <w:t xml:space="preserve"> volume.</w:t>
      </w:r>
    </w:p>
    <w:p w:rsidR="009E7881" w:rsidRPr="00CC49BB" w:rsidRDefault="009E7881" w:rsidP="009E7881">
      <w:pPr>
        <w:pStyle w:val="BodyTextIndent"/>
        <w:ind w:left="1440"/>
      </w:pPr>
      <w:r w:rsidRPr="00CC49BB">
        <w:t xml:space="preserve">Another specific case of an E4 Period is the </w:t>
      </w:r>
      <w:r>
        <w:t xml:space="preserve">actual extent of the </w:t>
      </w:r>
      <w:r w:rsidRPr="00CC49BB">
        <w:t>set of activities and phenomena a</w:t>
      </w:r>
      <w:r>
        <w:t>s evidenced by their physical traces that define</w:t>
      </w:r>
      <w:r w:rsidRPr="00CC49BB">
        <w:t xml:space="preserve"> a settlement, such as the populated period of Nineveh.</w:t>
      </w:r>
      <w:r>
        <w:t xml:space="preserve"> </w:t>
      </w:r>
    </w:p>
    <w:p w:rsidR="009E7881" w:rsidRPr="0057462B" w:rsidRDefault="009E7881" w:rsidP="009E7881">
      <w:pPr>
        <w:rPr>
          <w:szCs w:val="20"/>
        </w:rPr>
      </w:pPr>
      <w:r w:rsidRPr="0057462B">
        <w:rPr>
          <w:szCs w:val="20"/>
        </w:rPr>
        <w:t>Examples:</w:t>
      </w:r>
    </w:p>
    <w:p w:rsidR="009E7881" w:rsidRDefault="009E7881" w:rsidP="009E7881">
      <w:pPr>
        <w:widowControl w:val="0"/>
        <w:numPr>
          <w:ilvl w:val="0"/>
          <w:numId w:val="1"/>
        </w:numPr>
        <w:autoSpaceDE w:val="0"/>
        <w:autoSpaceDN w:val="0"/>
        <w:spacing w:after="0" w:line="240" w:lineRule="auto"/>
        <w:jc w:val="both"/>
        <w:rPr>
          <w:szCs w:val="20"/>
        </w:rPr>
      </w:pPr>
      <w:r w:rsidRPr="0057462B">
        <w:rPr>
          <w:szCs w:val="20"/>
        </w:rPr>
        <w:lastRenderedPageBreak/>
        <w:t>Jurassic</w:t>
      </w:r>
    </w:p>
    <w:p w:rsidR="009E7881" w:rsidRDefault="009E7881" w:rsidP="009E7881">
      <w:pPr>
        <w:widowControl w:val="0"/>
        <w:numPr>
          <w:ilvl w:val="0"/>
          <w:numId w:val="1"/>
        </w:numPr>
        <w:autoSpaceDE w:val="0"/>
        <w:autoSpaceDN w:val="0"/>
        <w:spacing w:after="0" w:line="240" w:lineRule="auto"/>
        <w:jc w:val="both"/>
        <w:rPr>
          <w:szCs w:val="20"/>
        </w:rPr>
      </w:pPr>
      <w:r>
        <w:rPr>
          <w:szCs w:val="20"/>
        </w:rPr>
        <w:t>Populated Period of Nineveh</w:t>
      </w:r>
    </w:p>
    <w:p w:rsidR="009E7881" w:rsidRPr="0057462B" w:rsidRDefault="009E7881" w:rsidP="009E7881">
      <w:pPr>
        <w:widowControl w:val="0"/>
        <w:numPr>
          <w:ilvl w:val="0"/>
          <w:numId w:val="1"/>
        </w:numPr>
        <w:autoSpaceDE w:val="0"/>
        <w:autoSpaceDN w:val="0"/>
        <w:spacing w:after="0" w:line="240" w:lineRule="auto"/>
        <w:jc w:val="both"/>
        <w:rPr>
          <w:szCs w:val="20"/>
        </w:rPr>
      </w:pPr>
      <w:r>
        <w:rPr>
          <w:szCs w:val="20"/>
        </w:rPr>
        <w:t>Imperial Rome under Marcus Aurelius</w:t>
      </w:r>
    </w:p>
    <w:p w:rsidR="009E7881" w:rsidRPr="0057462B" w:rsidRDefault="009E7881" w:rsidP="009E7881">
      <w:pPr>
        <w:widowControl w:val="0"/>
        <w:numPr>
          <w:ilvl w:val="0"/>
          <w:numId w:val="1"/>
        </w:numPr>
        <w:autoSpaceDE w:val="0"/>
        <w:autoSpaceDN w:val="0"/>
        <w:spacing w:after="0" w:line="240" w:lineRule="auto"/>
        <w:jc w:val="both"/>
        <w:rPr>
          <w:szCs w:val="20"/>
        </w:rPr>
      </w:pPr>
      <w:r w:rsidRPr="0057462B">
        <w:rPr>
          <w:szCs w:val="20"/>
        </w:rPr>
        <w:t>European Bronze Age</w:t>
      </w:r>
    </w:p>
    <w:p w:rsidR="009E7881" w:rsidRPr="0057462B" w:rsidRDefault="009E7881" w:rsidP="009E7881">
      <w:pPr>
        <w:widowControl w:val="0"/>
        <w:numPr>
          <w:ilvl w:val="0"/>
          <w:numId w:val="1"/>
        </w:numPr>
        <w:autoSpaceDE w:val="0"/>
        <w:autoSpaceDN w:val="0"/>
        <w:spacing w:after="0" w:line="240" w:lineRule="auto"/>
        <w:jc w:val="both"/>
        <w:rPr>
          <w:szCs w:val="20"/>
        </w:rPr>
      </w:pPr>
      <w:r w:rsidRPr="0057462B">
        <w:rPr>
          <w:szCs w:val="20"/>
        </w:rPr>
        <w:t>Italian Renaissance</w:t>
      </w:r>
    </w:p>
    <w:p w:rsidR="009E7881" w:rsidRPr="0057462B" w:rsidRDefault="009E7881" w:rsidP="009E7881">
      <w:pPr>
        <w:widowControl w:val="0"/>
        <w:numPr>
          <w:ilvl w:val="0"/>
          <w:numId w:val="1"/>
        </w:numPr>
        <w:autoSpaceDE w:val="0"/>
        <w:autoSpaceDN w:val="0"/>
        <w:spacing w:after="0" w:line="240" w:lineRule="auto"/>
        <w:jc w:val="both"/>
        <w:rPr>
          <w:szCs w:val="20"/>
        </w:rPr>
      </w:pPr>
      <w:r w:rsidRPr="0057462B">
        <w:rPr>
          <w:szCs w:val="20"/>
        </w:rPr>
        <w:t>Thirty Years War</w:t>
      </w:r>
    </w:p>
    <w:p w:rsidR="009E7881" w:rsidRPr="0057462B" w:rsidRDefault="009E7881" w:rsidP="009E7881">
      <w:pPr>
        <w:widowControl w:val="0"/>
        <w:numPr>
          <w:ilvl w:val="0"/>
          <w:numId w:val="1"/>
        </w:numPr>
        <w:autoSpaceDE w:val="0"/>
        <w:autoSpaceDN w:val="0"/>
        <w:spacing w:after="0" w:line="240" w:lineRule="auto"/>
        <w:jc w:val="both"/>
        <w:rPr>
          <w:szCs w:val="20"/>
        </w:rPr>
      </w:pPr>
      <w:r w:rsidRPr="0057462B">
        <w:rPr>
          <w:szCs w:val="20"/>
        </w:rPr>
        <w:t xml:space="preserve">Sturm und </w:t>
      </w:r>
      <w:proofErr w:type="spellStart"/>
      <w:r w:rsidRPr="0057462B">
        <w:rPr>
          <w:szCs w:val="20"/>
        </w:rPr>
        <w:t>Drang</w:t>
      </w:r>
      <w:proofErr w:type="spellEnd"/>
    </w:p>
    <w:p w:rsidR="009E7881" w:rsidRDefault="009E7881" w:rsidP="009E7881">
      <w:pPr>
        <w:widowControl w:val="0"/>
        <w:numPr>
          <w:ilvl w:val="0"/>
          <w:numId w:val="1"/>
        </w:numPr>
        <w:autoSpaceDE w:val="0"/>
        <w:autoSpaceDN w:val="0"/>
        <w:spacing w:after="0" w:line="240" w:lineRule="auto"/>
        <w:jc w:val="both"/>
        <w:rPr>
          <w:szCs w:val="20"/>
        </w:rPr>
      </w:pPr>
      <w:r w:rsidRPr="0057462B">
        <w:rPr>
          <w:szCs w:val="20"/>
        </w:rPr>
        <w:t>Cubism</w:t>
      </w:r>
    </w:p>
    <w:p w:rsidR="009E7881" w:rsidRDefault="009E7881" w:rsidP="009E7881">
      <w:r w:rsidRPr="00D67862">
        <w:t xml:space="preserve">In First Order Logic: </w:t>
      </w:r>
    </w:p>
    <w:p w:rsidR="009E7881" w:rsidRPr="00D67862" w:rsidRDefault="009E7881" w:rsidP="009E7881"/>
    <w:p w:rsidR="009E7881" w:rsidRDefault="009E7881" w:rsidP="009E7881">
      <w:pPr>
        <w:pStyle w:val="BodyTextIndent"/>
        <w:ind w:left="1440" w:hanging="1440"/>
      </w:pPr>
      <w:r>
        <w:tab/>
      </w:r>
      <w:r w:rsidRPr="00EC018D">
        <w:t xml:space="preserve">E4(x) </w:t>
      </w:r>
      <w:r w:rsidRPr="00EC018D">
        <w:rPr>
          <w:rFonts w:ascii="MS Mincho" w:eastAsia="MS Mincho" w:hAnsi="MS Mincho" w:cs="MS Mincho" w:hint="eastAsia"/>
        </w:rPr>
        <w:t>⊃</w:t>
      </w:r>
      <w:r>
        <w:t xml:space="preserve"> </w:t>
      </w:r>
      <w:r w:rsidRPr="00EC018D">
        <w:t>E2(x)</w:t>
      </w:r>
    </w:p>
    <w:p w:rsidR="009E7881" w:rsidRDefault="009E7881" w:rsidP="009E7881">
      <w:pPr>
        <w:pStyle w:val="BodyTextIndent"/>
        <w:ind w:left="1440"/>
      </w:pPr>
      <w:r w:rsidRPr="00EC018D">
        <w:t xml:space="preserve">E4(x) </w:t>
      </w:r>
      <w:r w:rsidRPr="00EC018D">
        <w:rPr>
          <w:rFonts w:ascii="Cambria Math" w:hAnsi="Cambria Math" w:cs="Cambria Math"/>
        </w:rPr>
        <w:t>⊃</w:t>
      </w:r>
      <w:r>
        <w:t xml:space="preserve"> </w:t>
      </w:r>
      <w:r w:rsidRPr="00EC018D">
        <w:t>E</w:t>
      </w:r>
      <w:r>
        <w:t>9</w:t>
      </w:r>
      <w:r w:rsidRPr="00EC018D">
        <w:t>2(x)</w:t>
      </w:r>
    </w:p>
    <w:p w:rsidR="009E7881" w:rsidRPr="00EC018D" w:rsidRDefault="009E7881" w:rsidP="009E7881">
      <w:pPr>
        <w:pStyle w:val="BodyTextIndent"/>
        <w:ind w:left="1440" w:hanging="1440"/>
      </w:pPr>
    </w:p>
    <w:p w:rsidR="009E7881" w:rsidRPr="0057462B" w:rsidRDefault="009E7881" w:rsidP="009E7881">
      <w:pPr>
        <w:pStyle w:val="BodyText"/>
        <w:widowControl w:val="0"/>
        <w:rPr>
          <w:rFonts w:ascii="Times New Roman" w:hAnsi="Times New Roman" w:cs="Times New Roman"/>
          <w:b/>
          <w:bCs/>
        </w:rPr>
      </w:pPr>
      <w:r w:rsidRPr="0057462B">
        <w:rPr>
          <w:rFonts w:ascii="Times New Roman" w:hAnsi="Times New Roman" w:cs="Times New Roman"/>
          <w:bCs/>
        </w:rPr>
        <w:t>Properties</w:t>
      </w:r>
      <w:r w:rsidRPr="0057462B">
        <w:rPr>
          <w:rFonts w:ascii="Times New Roman" w:hAnsi="Times New Roman" w:cs="Times New Roman"/>
          <w:b/>
          <w:bCs/>
        </w:rPr>
        <w:t>:</w:t>
      </w:r>
    </w:p>
    <w:p w:rsidR="009E7881" w:rsidRPr="0057462B" w:rsidRDefault="009E7881" w:rsidP="009E7881">
      <w:pPr>
        <w:ind w:left="1004" w:firstLine="436"/>
        <w:rPr>
          <w:bCs/>
          <w:szCs w:val="20"/>
        </w:rPr>
      </w:pPr>
      <w:hyperlink w:anchor="_P7_took_place" w:history="1">
        <w:r w:rsidRPr="0057462B">
          <w:rPr>
            <w:rStyle w:val="Hyperlink"/>
            <w:bCs/>
            <w:szCs w:val="20"/>
          </w:rPr>
          <w:t>P7</w:t>
        </w:r>
      </w:hyperlink>
      <w:r w:rsidRPr="0057462B">
        <w:rPr>
          <w:bCs/>
          <w:szCs w:val="20"/>
        </w:rPr>
        <w:t xml:space="preserve"> took place at (witnessed): </w:t>
      </w:r>
      <w:hyperlink w:anchor="_E53_Place" w:history="1">
        <w:r w:rsidRPr="0057462B">
          <w:rPr>
            <w:rStyle w:val="Hyperlink"/>
            <w:bCs/>
            <w:szCs w:val="20"/>
          </w:rPr>
          <w:t>E53</w:t>
        </w:r>
      </w:hyperlink>
      <w:r w:rsidRPr="0057462B">
        <w:rPr>
          <w:bCs/>
          <w:szCs w:val="20"/>
        </w:rPr>
        <w:t xml:space="preserve"> Place</w:t>
      </w:r>
    </w:p>
    <w:p w:rsidR="009E7881" w:rsidRPr="0057462B" w:rsidRDefault="009E7881" w:rsidP="009E7881">
      <w:pPr>
        <w:ind w:left="1004" w:firstLine="436"/>
        <w:rPr>
          <w:bCs/>
          <w:szCs w:val="20"/>
        </w:rPr>
      </w:pPr>
      <w:hyperlink w:anchor="_P8_took_place" w:history="1">
        <w:r w:rsidRPr="0057462B">
          <w:rPr>
            <w:rStyle w:val="Hyperlink"/>
            <w:bCs/>
            <w:szCs w:val="20"/>
          </w:rPr>
          <w:t>P8</w:t>
        </w:r>
      </w:hyperlink>
      <w:r w:rsidRPr="0057462B">
        <w:rPr>
          <w:bCs/>
          <w:szCs w:val="20"/>
        </w:rPr>
        <w:t xml:space="preserve"> took place on or within (witnessed): </w:t>
      </w:r>
      <w:hyperlink w:anchor="_E19_Physical_Object" w:history="1">
        <w:r w:rsidRPr="0057462B">
          <w:rPr>
            <w:rStyle w:val="Hyperlink"/>
          </w:rPr>
          <w:t>E18</w:t>
        </w:r>
      </w:hyperlink>
      <w:r w:rsidRPr="0057462B">
        <w:t xml:space="preserve"> </w:t>
      </w:r>
      <w:r w:rsidRPr="0057462B">
        <w:rPr>
          <w:szCs w:val="20"/>
        </w:rPr>
        <w:t>Physical Thing</w:t>
      </w:r>
    </w:p>
    <w:p w:rsidR="009E7881" w:rsidRDefault="009E7881" w:rsidP="009E7881">
      <w:pPr>
        <w:ind w:left="1004" w:firstLine="436"/>
        <w:rPr>
          <w:bCs/>
          <w:szCs w:val="20"/>
        </w:rPr>
      </w:pPr>
      <w:hyperlink w:anchor="_P9_consists_of_(forms part of)" w:history="1">
        <w:r w:rsidRPr="0057462B">
          <w:rPr>
            <w:rStyle w:val="Hyperlink"/>
            <w:bCs/>
            <w:szCs w:val="20"/>
          </w:rPr>
          <w:t>P9</w:t>
        </w:r>
      </w:hyperlink>
      <w:r w:rsidRPr="0057462B">
        <w:rPr>
          <w:szCs w:val="20"/>
        </w:rPr>
        <w:t xml:space="preserve"> </w:t>
      </w:r>
      <w:r w:rsidRPr="0057462B">
        <w:rPr>
          <w:bCs/>
          <w:szCs w:val="20"/>
        </w:rPr>
        <w:t xml:space="preserve">consists of (forms part of): </w:t>
      </w:r>
      <w:hyperlink w:anchor="_E4_Period" w:history="1">
        <w:r w:rsidRPr="0057462B">
          <w:rPr>
            <w:rStyle w:val="Hyperlink"/>
            <w:bCs/>
            <w:szCs w:val="20"/>
          </w:rPr>
          <w:t>E4</w:t>
        </w:r>
      </w:hyperlink>
      <w:r w:rsidRPr="0057462B">
        <w:rPr>
          <w:bCs/>
          <w:szCs w:val="20"/>
        </w:rPr>
        <w:t xml:space="preserve"> Period</w:t>
      </w:r>
    </w:p>
    <w:p w:rsidR="00F86067" w:rsidRDefault="00F86067">
      <w:bookmarkStart w:id="1" w:name="_GoBack"/>
      <w:bookmarkEnd w:id="1"/>
    </w:p>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81"/>
    <w:rsid w:val="0045570D"/>
    <w:rsid w:val="005A5B94"/>
    <w:rsid w:val="009E7881"/>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6A065-3259-4F27-9A56-1E93BA16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881"/>
    <w:rPr>
      <w:lang w:val="en-GB"/>
    </w:rPr>
  </w:style>
  <w:style w:type="paragraph" w:styleId="Heading1">
    <w:name w:val="heading 1"/>
    <w:basedOn w:val="Normal"/>
    <w:next w:val="Normal"/>
    <w:link w:val="Heading1Char"/>
    <w:qFormat/>
    <w:rsid w:val="009E78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9E78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881"/>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rsid w:val="009E7881"/>
    <w:rPr>
      <w:rFonts w:asciiTheme="majorHAnsi" w:eastAsiaTheme="majorEastAsia" w:hAnsiTheme="majorHAnsi" w:cstheme="majorBidi"/>
      <w:color w:val="1F4D78" w:themeColor="accent1" w:themeShade="7F"/>
      <w:sz w:val="24"/>
      <w:szCs w:val="24"/>
      <w:lang w:val="en-GB"/>
    </w:rPr>
  </w:style>
  <w:style w:type="character" w:styleId="Hyperlink">
    <w:name w:val="Hyperlink"/>
    <w:basedOn w:val="DefaultParagraphFont"/>
    <w:unhideWhenUsed/>
    <w:rsid w:val="009E7881"/>
    <w:rPr>
      <w:color w:val="0000FF"/>
      <w:u w:val="single"/>
    </w:rPr>
  </w:style>
  <w:style w:type="paragraph" w:styleId="FootnoteText">
    <w:name w:val="footnote text"/>
    <w:basedOn w:val="Normal"/>
    <w:link w:val="FootnoteTextChar"/>
    <w:unhideWhenUsed/>
    <w:rsid w:val="009E7881"/>
    <w:pPr>
      <w:spacing w:after="0" w:line="240" w:lineRule="auto"/>
      <w:ind w:firstLine="357"/>
      <w:jc w:val="both"/>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rsid w:val="009E7881"/>
    <w:rPr>
      <w:rFonts w:ascii="Times New Roman" w:eastAsia="MS Mincho" w:hAnsi="Times New Roman" w:cs="Times New Roman"/>
      <w:sz w:val="20"/>
      <w:szCs w:val="20"/>
      <w:lang w:eastAsia="ja-JP"/>
    </w:rPr>
  </w:style>
  <w:style w:type="paragraph" w:styleId="BodyText">
    <w:name w:val="Body Text"/>
    <w:basedOn w:val="Normal"/>
    <w:link w:val="BodyTextChar"/>
    <w:unhideWhenUsed/>
    <w:rsid w:val="009E7881"/>
    <w:pPr>
      <w:autoSpaceDE w:val="0"/>
      <w:autoSpaceDN w:val="0"/>
      <w:spacing w:after="0" w:line="240" w:lineRule="auto"/>
      <w:jc w:val="both"/>
    </w:pPr>
    <w:rPr>
      <w:rFonts w:ascii="Courier New" w:eastAsia="Times New Roman" w:hAnsi="Courier New" w:cs="Courier New"/>
      <w:sz w:val="20"/>
      <w:szCs w:val="20"/>
    </w:rPr>
  </w:style>
  <w:style w:type="character" w:customStyle="1" w:styleId="BodyTextChar">
    <w:name w:val="Body Text Char"/>
    <w:basedOn w:val="DefaultParagraphFont"/>
    <w:link w:val="BodyText"/>
    <w:rsid w:val="009E7881"/>
    <w:rPr>
      <w:rFonts w:ascii="Courier New" w:eastAsia="Times New Roman" w:hAnsi="Courier New" w:cs="Courier New"/>
      <w:sz w:val="20"/>
      <w:szCs w:val="20"/>
      <w:lang w:val="en-GB"/>
    </w:rPr>
  </w:style>
  <w:style w:type="paragraph" w:styleId="BodyTextIndent">
    <w:name w:val="Body Text Indent"/>
    <w:basedOn w:val="Normal"/>
    <w:link w:val="BodyTextIndentChar"/>
    <w:unhideWhenUsed/>
    <w:rsid w:val="009E7881"/>
    <w:pPr>
      <w:spacing w:after="120"/>
      <w:ind w:left="283"/>
    </w:pPr>
  </w:style>
  <w:style w:type="character" w:customStyle="1" w:styleId="BodyTextIndentChar">
    <w:name w:val="Body Text Indent Char"/>
    <w:basedOn w:val="DefaultParagraphFont"/>
    <w:link w:val="BodyTextIndent"/>
    <w:rsid w:val="009E788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1</cp:revision>
  <dcterms:created xsi:type="dcterms:W3CDTF">2018-04-29T07:04:00Z</dcterms:created>
  <dcterms:modified xsi:type="dcterms:W3CDTF">2018-04-29T07:06:00Z</dcterms:modified>
</cp:coreProperties>
</file>