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B7B" w:rsidRDefault="00136B7B" w:rsidP="00136B7B">
      <w:pPr>
        <w:pStyle w:val="Heading4"/>
        <w:rPr>
          <w:lang w:val="en-GB"/>
        </w:rPr>
      </w:pPr>
      <w:r w:rsidRPr="00030E59">
        <w:rPr>
          <w:lang w:val="en-GB"/>
        </w:rPr>
        <w:t>Reformulation of the scope note for I7 Belief Adoption</w:t>
      </w:r>
    </w:p>
    <w:p w:rsidR="00136B7B" w:rsidRPr="00030E59" w:rsidRDefault="00136B7B" w:rsidP="00136B7B">
      <w:pPr>
        <w:pStyle w:val="Heading5"/>
        <w:rPr>
          <w:lang w:val="en-GB"/>
        </w:rPr>
      </w:pPr>
      <w:r w:rsidRPr="00030E59">
        <w:rPr>
          <w:lang w:val="en-GB"/>
        </w:rPr>
        <w:t>NEW</w:t>
      </w:r>
    </w:p>
    <w:p w:rsidR="00136B7B" w:rsidRPr="00030E59" w:rsidRDefault="00136B7B" w:rsidP="00136B7B">
      <w:pPr>
        <w:rPr>
          <w:rFonts w:ascii="Times New Roman" w:hAnsi="Times New Roman" w:cs="Times New Roman"/>
          <w:sz w:val="20"/>
          <w:szCs w:val="20"/>
          <w:lang w:val="en-GB"/>
        </w:rPr>
      </w:pPr>
      <w:r w:rsidRPr="00030E59">
        <w:rPr>
          <w:rFonts w:ascii="Times New Roman" w:hAnsi="Times New Roman" w:cs="Times New Roman"/>
          <w:b/>
          <w:bCs/>
          <w:sz w:val="20"/>
          <w:szCs w:val="20"/>
          <w:lang w:val="en-GB"/>
        </w:rPr>
        <w:t>I7 Belief Adoption</w:t>
      </w:r>
    </w:p>
    <w:p w:rsidR="00136B7B" w:rsidRPr="00030E59" w:rsidRDefault="00136B7B" w:rsidP="00136B7B">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Subclass of: </w:t>
      </w:r>
      <w:r w:rsidRPr="00030E59">
        <w:rPr>
          <w:rFonts w:ascii="Times New Roman" w:hAnsi="Times New Roman" w:cs="Times New Roman"/>
          <w:sz w:val="20"/>
          <w:szCs w:val="20"/>
          <w:lang w:val="en-GB"/>
        </w:rPr>
        <w:tab/>
      </w:r>
      <w:hyperlink r:id="rId5" w:anchor="heading=h.gjdgxs" w:history="1">
        <w:r w:rsidRPr="00030E59">
          <w:rPr>
            <w:rStyle w:val="Hyperlink"/>
            <w:rFonts w:ascii="Times New Roman" w:hAnsi="Times New Roman" w:cs="Times New Roman"/>
            <w:sz w:val="20"/>
            <w:szCs w:val="20"/>
            <w:lang w:val="en-GB"/>
          </w:rPr>
          <w:t xml:space="preserve">I1 </w:t>
        </w:r>
      </w:hyperlink>
      <w:r w:rsidRPr="00030E59">
        <w:rPr>
          <w:rFonts w:ascii="Times New Roman" w:hAnsi="Times New Roman" w:cs="Times New Roman"/>
          <w:sz w:val="20"/>
          <w:szCs w:val="20"/>
          <w:lang w:val="en-GB"/>
        </w:rPr>
        <w:t>Argumentation</w:t>
      </w:r>
    </w:p>
    <w:p w:rsidR="00136B7B" w:rsidRPr="00030E59" w:rsidRDefault="00136B7B" w:rsidP="00136B7B">
      <w:pPr>
        <w:rPr>
          <w:rFonts w:ascii="Times New Roman" w:hAnsi="Times New Roman" w:cs="Times New Roman"/>
          <w:sz w:val="20"/>
          <w:szCs w:val="20"/>
          <w:lang w:val="en-GB"/>
        </w:rPr>
      </w:pPr>
      <w:r w:rsidRPr="00030E59">
        <w:rPr>
          <w:rFonts w:ascii="Times New Roman" w:hAnsi="Times New Roman" w:cs="Times New Roman"/>
          <w:sz w:val="20"/>
          <w:szCs w:val="20"/>
          <w:lang w:val="en-GB"/>
        </w:rPr>
        <w:t>Superclass of:</w:t>
      </w:r>
      <w:r w:rsidRPr="00030E59">
        <w:rPr>
          <w:rFonts w:ascii="Times New Roman" w:hAnsi="Times New Roman" w:cs="Times New Roman"/>
          <w:sz w:val="20"/>
          <w:szCs w:val="20"/>
          <w:lang w:val="en-GB"/>
        </w:rPr>
        <w:tab/>
      </w:r>
    </w:p>
    <w:p w:rsidR="00136B7B" w:rsidRPr="00030E59" w:rsidRDefault="00136B7B" w:rsidP="00136B7B">
      <w:pPr>
        <w:ind w:left="1440" w:hanging="1440"/>
        <w:rPr>
          <w:rFonts w:ascii="Times New Roman" w:hAnsi="Times New Roman" w:cs="Times New Roman"/>
          <w:sz w:val="20"/>
          <w:szCs w:val="20"/>
          <w:lang w:val="en-GB"/>
        </w:rPr>
      </w:pPr>
      <w:r w:rsidRPr="00030E59">
        <w:rPr>
          <w:rFonts w:ascii="Times New Roman" w:hAnsi="Times New Roman" w:cs="Times New Roman"/>
          <w:sz w:val="20"/>
          <w:szCs w:val="20"/>
          <w:lang w:val="en-GB"/>
        </w:rPr>
        <w:t>Scope note:</w:t>
      </w:r>
      <w:r w:rsidRPr="00030E59">
        <w:rPr>
          <w:rFonts w:ascii="Times New Roman" w:hAnsi="Times New Roman" w:cs="Times New Roman"/>
          <w:sz w:val="20"/>
          <w:szCs w:val="20"/>
          <w:lang w:val="en-GB"/>
        </w:rPr>
        <w:tab/>
        <w:t>This class comprises the action of an E39 Actor adopting propositions taken from an interpretation of the intended meaning of an instance of E73 Information Object as being true or in some way likely to be true. The adopted propositions constitute the conclusion of the action in the form of a new instance of Ix4 Adopted Belief of the adopting actor.</w:t>
      </w:r>
    </w:p>
    <w:p w:rsidR="00136B7B" w:rsidRPr="00030E59" w:rsidRDefault="00136B7B" w:rsidP="00136B7B">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The basis of I7 Belief Adoption is the justification of trust in the source of the adopted propositions rather than the application of rules for inferring the respective propositions from logical premises.</w:t>
      </w:r>
    </w:p>
    <w:p w:rsidR="00136B7B" w:rsidRPr="00030E59" w:rsidRDefault="00136B7B" w:rsidP="00136B7B">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Typical examples are the citation of academic papers or the reuse of data sets.</w:t>
      </w:r>
    </w:p>
    <w:p w:rsidR="00136B7B" w:rsidRPr="00030E59" w:rsidRDefault="00136B7B" w:rsidP="00136B7B">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Where an instance of I7 Belief Adoption is based on personal communication (marked as </w:t>
      </w:r>
      <w:proofErr w:type="spellStart"/>
      <w:r w:rsidRPr="00030E59">
        <w:rPr>
          <w:rFonts w:ascii="Times New Roman" w:hAnsi="Times New Roman" w:cs="Times New Roman"/>
          <w:sz w:val="20"/>
          <w:szCs w:val="20"/>
          <w:lang w:val="en-GB"/>
        </w:rPr>
        <w:t>pers.comm</w:t>
      </w:r>
      <w:proofErr w:type="spellEnd"/>
      <w:r w:rsidRPr="00030E59">
        <w:rPr>
          <w:rFonts w:ascii="Times New Roman" w:hAnsi="Times New Roman" w:cs="Times New Roman"/>
          <w:sz w:val="20"/>
          <w:szCs w:val="20"/>
          <w:lang w:val="en-GB"/>
        </w:rPr>
        <w:t xml:space="preserve">. in the studied text) this should be represented by using P2 </w:t>
      </w:r>
      <w:r w:rsidRPr="00030E59">
        <w:rPr>
          <w:rFonts w:ascii="Times New Roman" w:hAnsi="Times New Roman" w:cs="Times New Roman"/>
          <w:i/>
          <w:iCs/>
          <w:sz w:val="20"/>
          <w:szCs w:val="20"/>
          <w:lang w:val="en-GB"/>
        </w:rPr>
        <w:t>has type</w:t>
      </w:r>
      <w:r w:rsidRPr="00030E59">
        <w:rPr>
          <w:rFonts w:ascii="Times New Roman" w:hAnsi="Times New Roman" w:cs="Times New Roman"/>
          <w:sz w:val="20"/>
          <w:szCs w:val="20"/>
          <w:lang w:val="en-GB"/>
        </w:rPr>
        <w:t>: “</w:t>
      </w:r>
      <w:proofErr w:type="spellStart"/>
      <w:r w:rsidRPr="00030E59">
        <w:rPr>
          <w:rFonts w:ascii="Times New Roman" w:hAnsi="Times New Roman" w:cs="Times New Roman"/>
          <w:sz w:val="20"/>
          <w:szCs w:val="20"/>
          <w:lang w:val="en-GB"/>
        </w:rPr>
        <w:t>Pers.Comm</w:t>
      </w:r>
      <w:proofErr w:type="spellEnd"/>
      <w:r w:rsidRPr="00030E59">
        <w:rPr>
          <w:rFonts w:ascii="Times New Roman" w:hAnsi="Times New Roman" w:cs="Times New Roman"/>
          <w:sz w:val="20"/>
          <w:szCs w:val="20"/>
          <w:lang w:val="en-GB"/>
        </w:rPr>
        <w:t>.” directly from the instance of I7 Belief Adoption.</w:t>
      </w:r>
    </w:p>
    <w:p w:rsidR="00136B7B" w:rsidRPr="00030E59" w:rsidRDefault="00136B7B" w:rsidP="00136B7B">
      <w:pPr>
        <w:spacing w:after="0"/>
        <w:ind w:left="1440" w:hanging="1440"/>
        <w:rPr>
          <w:rFonts w:ascii="Times New Roman" w:hAnsi="Times New Roman" w:cs="Times New Roman"/>
          <w:sz w:val="20"/>
          <w:szCs w:val="20"/>
          <w:lang w:val="en-GB"/>
        </w:rPr>
      </w:pPr>
      <w:r w:rsidRPr="00030E59">
        <w:rPr>
          <w:rFonts w:ascii="Times New Roman" w:hAnsi="Times New Roman" w:cs="Times New Roman"/>
          <w:sz w:val="20"/>
          <w:szCs w:val="20"/>
          <w:lang w:val="en-GB"/>
        </w:rPr>
        <w:t>Properties:</w:t>
      </w:r>
      <w:r w:rsidRPr="00030E59">
        <w:rPr>
          <w:rFonts w:ascii="Times New Roman" w:hAnsi="Times New Roman" w:cs="Times New Roman"/>
          <w:sz w:val="20"/>
          <w:szCs w:val="20"/>
          <w:lang w:val="en-GB"/>
        </w:rPr>
        <w:tab/>
        <w:t>Jxx5 adopted interpretation (was concluded by): Ix4 Adopted Belief</w:t>
      </w:r>
    </w:p>
    <w:p w:rsidR="00136B7B" w:rsidRPr="00030E59" w:rsidRDefault="00136B7B" w:rsidP="00136B7B">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J7 is based on evidence from (was evidence for): E73 Information Object</w:t>
      </w:r>
    </w:p>
    <w:p w:rsidR="00136B7B" w:rsidRPr="00030E59" w:rsidRDefault="00136B7B" w:rsidP="00136B7B">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Jxx3 assumed meaning (was assumed by): Ix2 Intended Meaning Belief</w:t>
      </w:r>
    </w:p>
    <w:p w:rsidR="00136B7B" w:rsidRPr="00030E59" w:rsidRDefault="00136B7B" w:rsidP="00136B7B">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Jxx4 assuming provenance (was assumed by): Ix5 Provenance Belief</w:t>
      </w:r>
    </w:p>
    <w:p w:rsidR="00136B7B" w:rsidRPr="00030E59" w:rsidRDefault="00136B7B" w:rsidP="00136B7B">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J11 used manifestation (was manifestation used by): F3 Manifestation</w:t>
      </w:r>
    </w:p>
    <w:p w:rsidR="00136B7B" w:rsidRPr="00030E59" w:rsidRDefault="00136B7B" w:rsidP="00136B7B">
      <w:pPr>
        <w:spacing w:after="0"/>
        <w:ind w:left="1440"/>
        <w:rPr>
          <w:rFonts w:ascii="Times New Roman" w:hAnsi="Times New Roman" w:cs="Times New Roman"/>
          <w:sz w:val="20"/>
          <w:szCs w:val="20"/>
          <w:lang w:val="en-GB"/>
        </w:rPr>
      </w:pPr>
      <w:r w:rsidRPr="00030E59">
        <w:rPr>
          <w:rFonts w:ascii="Times New Roman" w:hAnsi="Times New Roman" w:cs="Times New Roman"/>
          <w:bCs/>
          <w:sz w:val="20"/>
          <w:szCs w:val="20"/>
          <w:lang w:val="en-GB"/>
        </w:rPr>
        <w:t>J12</w:t>
      </w:r>
      <w:r w:rsidRPr="00030E59">
        <w:rPr>
          <w:rFonts w:ascii="Times New Roman" w:hAnsi="Times New Roman" w:cs="Times New Roman"/>
          <w:b/>
          <w:bCs/>
          <w:sz w:val="20"/>
          <w:szCs w:val="20"/>
          <w:lang w:val="en-GB"/>
        </w:rPr>
        <w:t xml:space="preserve"> </w:t>
      </w:r>
      <w:r w:rsidRPr="00030E59">
        <w:rPr>
          <w:rFonts w:ascii="Times New Roman" w:hAnsi="Times New Roman" w:cs="Times New Roman"/>
          <w:sz w:val="20"/>
          <w:szCs w:val="20"/>
          <w:lang w:val="en-GB"/>
        </w:rPr>
        <w:t>used (was used by): F5 Item</w:t>
      </w:r>
    </w:p>
    <w:p w:rsidR="00136B7B" w:rsidRPr="00030E59" w:rsidRDefault="00136B7B" w:rsidP="00136B7B">
      <w:pPr>
        <w:rPr>
          <w:rFonts w:ascii="Times New Roman" w:hAnsi="Times New Roman" w:cs="Times New Roman"/>
          <w:sz w:val="20"/>
          <w:szCs w:val="20"/>
          <w:lang w:val="en-GB"/>
        </w:rPr>
      </w:pPr>
      <w:r w:rsidRPr="00030E59">
        <w:rPr>
          <w:rFonts w:ascii="Times New Roman" w:hAnsi="Times New Roman" w:cs="Times New Roman"/>
          <w:sz w:val="20"/>
          <w:szCs w:val="20"/>
          <w:lang w:val="en-GB"/>
        </w:rPr>
        <w:t>Examples:</w:t>
      </w:r>
      <w:r w:rsidRPr="00030E59">
        <w:rPr>
          <w:rFonts w:ascii="Times New Roman" w:hAnsi="Times New Roman" w:cs="Times New Roman"/>
          <w:sz w:val="20"/>
          <w:szCs w:val="20"/>
          <w:lang w:val="en-GB"/>
        </w:rPr>
        <w:tab/>
      </w:r>
    </w:p>
    <w:p w:rsidR="00136B7B" w:rsidRPr="00030E59" w:rsidRDefault="00136B7B" w:rsidP="00136B7B">
      <w:pPr>
        <w:pStyle w:val="ListParagraph"/>
        <w:numPr>
          <w:ilvl w:val="0"/>
          <w:numId w:val="1"/>
        </w:num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My adoption of the belief that </w:t>
      </w:r>
      <w:proofErr w:type="spellStart"/>
      <w:r w:rsidRPr="00030E59">
        <w:rPr>
          <w:rFonts w:ascii="Times New Roman" w:hAnsi="Times New Roman" w:cs="Times New Roman"/>
          <w:sz w:val="20"/>
          <w:szCs w:val="20"/>
          <w:lang w:val="en-GB"/>
        </w:rPr>
        <w:t>Dragendorff</w:t>
      </w:r>
      <w:proofErr w:type="spellEnd"/>
      <w:r w:rsidRPr="00030E59">
        <w:rPr>
          <w:rFonts w:ascii="Times New Roman" w:hAnsi="Times New Roman" w:cs="Times New Roman"/>
          <w:sz w:val="20"/>
          <w:szCs w:val="20"/>
          <w:lang w:val="en-GB"/>
        </w:rPr>
        <w:t xml:space="preserve"> type 29 bowls are from the 1st Century AD</w:t>
      </w:r>
    </w:p>
    <w:p w:rsidR="00136B7B" w:rsidRPr="00030E59" w:rsidRDefault="00136B7B" w:rsidP="00136B7B">
      <w:pPr>
        <w:rPr>
          <w:rFonts w:ascii="Times New Roman" w:hAnsi="Times New Roman" w:cs="Times New Roman"/>
          <w:sz w:val="20"/>
          <w:szCs w:val="20"/>
          <w:lang w:val="en-GB"/>
        </w:rPr>
      </w:pPr>
    </w:p>
    <w:p w:rsidR="00136B7B" w:rsidRPr="00030E59" w:rsidRDefault="00136B7B" w:rsidP="00136B7B">
      <w:pPr>
        <w:rPr>
          <w:rFonts w:ascii="Times New Roman" w:hAnsi="Times New Roman" w:cs="Times New Roman"/>
          <w:sz w:val="20"/>
          <w:szCs w:val="20"/>
          <w:lang w:val="en-GB"/>
        </w:rPr>
      </w:pPr>
      <w:r w:rsidRPr="00030E59">
        <w:rPr>
          <w:rFonts w:ascii="Times New Roman" w:hAnsi="Times New Roman" w:cs="Times New Roman"/>
          <w:sz w:val="20"/>
          <w:szCs w:val="20"/>
          <w:lang w:val="en-GB"/>
        </w:rPr>
        <w:t>In First Order Logic: </w:t>
      </w:r>
    </w:p>
    <w:p w:rsidR="00136B7B" w:rsidRPr="00030E59" w:rsidRDefault="00136B7B" w:rsidP="00136B7B">
      <w:pPr>
        <w:rPr>
          <w:rFonts w:ascii="Times New Roman" w:hAnsi="Times New Roman" w:cs="Times New Roman"/>
          <w:sz w:val="20"/>
          <w:szCs w:val="20"/>
          <w:lang w:val="en-GB"/>
        </w:rPr>
      </w:pPr>
      <w:r w:rsidRPr="00030E59">
        <w:rPr>
          <w:rFonts w:ascii="Times New Roman" w:hAnsi="Times New Roman" w:cs="Times New Roman"/>
          <w:sz w:val="20"/>
          <w:szCs w:val="20"/>
          <w:lang w:val="en-GB"/>
        </w:rPr>
        <w:tab/>
      </w:r>
      <w:r w:rsidRPr="00030E59">
        <w:rPr>
          <w:rFonts w:ascii="Times New Roman" w:hAnsi="Times New Roman" w:cs="Times New Roman"/>
          <w:sz w:val="20"/>
          <w:szCs w:val="20"/>
          <w:lang w:val="en-GB"/>
        </w:rPr>
        <w:tab/>
        <w:t xml:space="preserve">I7(x) </w:t>
      </w:r>
      <w:r w:rsidRPr="00030E59">
        <w:rPr>
          <w:rFonts w:ascii="Cambria Math" w:hAnsi="Cambria Math" w:cs="Cambria Math"/>
          <w:sz w:val="20"/>
          <w:szCs w:val="20"/>
          <w:lang w:val="en-GB"/>
        </w:rPr>
        <w:t>⇒</w:t>
      </w:r>
      <w:r w:rsidRPr="00030E59">
        <w:rPr>
          <w:rFonts w:ascii="Times New Roman" w:hAnsi="Times New Roman" w:cs="Times New Roman"/>
          <w:sz w:val="20"/>
          <w:szCs w:val="20"/>
          <w:lang w:val="en-GB"/>
        </w:rPr>
        <w:t xml:space="preserve"> I1(x)</w:t>
      </w:r>
    </w:p>
    <w:p w:rsidR="00136B7B" w:rsidRPr="00136B7B" w:rsidRDefault="00136B7B" w:rsidP="00136B7B">
      <w:pPr>
        <w:rPr>
          <w:lang w:val="en-GB"/>
        </w:rPr>
      </w:pPr>
      <w:bookmarkStart w:id="0" w:name="_GoBack"/>
      <w:bookmarkEnd w:id="0"/>
    </w:p>
    <w:p w:rsidR="00136B7B" w:rsidRPr="00030E59" w:rsidRDefault="00136B7B" w:rsidP="00136B7B">
      <w:pPr>
        <w:pStyle w:val="Heading5"/>
        <w:rPr>
          <w:lang w:val="en-GB"/>
        </w:rPr>
      </w:pPr>
      <w:r w:rsidRPr="00030E59">
        <w:rPr>
          <w:lang w:val="en-GB"/>
        </w:rPr>
        <w:t>OLD</w:t>
      </w:r>
    </w:p>
    <w:p w:rsidR="00136B7B" w:rsidRPr="00030E59" w:rsidRDefault="00136B7B" w:rsidP="00136B7B">
      <w:pPr>
        <w:rPr>
          <w:rFonts w:ascii="Times New Roman" w:hAnsi="Times New Roman" w:cs="Times New Roman"/>
          <w:sz w:val="20"/>
          <w:szCs w:val="20"/>
          <w:lang w:val="en-GB"/>
        </w:rPr>
      </w:pPr>
      <w:r w:rsidRPr="00030E59">
        <w:rPr>
          <w:rFonts w:ascii="Times New Roman" w:hAnsi="Times New Roman" w:cs="Times New Roman"/>
          <w:b/>
          <w:bCs/>
          <w:sz w:val="20"/>
          <w:szCs w:val="20"/>
          <w:lang w:val="en-GB"/>
        </w:rPr>
        <w:t>I7 Belief Adoption</w:t>
      </w:r>
    </w:p>
    <w:p w:rsidR="00136B7B" w:rsidRPr="00030E59" w:rsidRDefault="00136B7B" w:rsidP="00136B7B">
      <w:p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Subclass of: </w:t>
      </w:r>
      <w:r w:rsidRPr="00030E59">
        <w:rPr>
          <w:rFonts w:ascii="Times New Roman" w:hAnsi="Times New Roman" w:cs="Times New Roman"/>
          <w:sz w:val="20"/>
          <w:szCs w:val="20"/>
          <w:lang w:val="en-GB"/>
        </w:rPr>
        <w:tab/>
        <w:t>I1 Argumentation</w:t>
      </w:r>
    </w:p>
    <w:p w:rsidR="00136B7B" w:rsidRPr="00030E59" w:rsidRDefault="00136B7B" w:rsidP="00136B7B">
      <w:pPr>
        <w:rPr>
          <w:rFonts w:ascii="Times New Roman" w:hAnsi="Times New Roman" w:cs="Times New Roman"/>
          <w:sz w:val="20"/>
          <w:szCs w:val="20"/>
          <w:lang w:val="en-GB"/>
        </w:rPr>
      </w:pPr>
      <w:r w:rsidRPr="00030E59">
        <w:rPr>
          <w:rFonts w:ascii="Times New Roman" w:hAnsi="Times New Roman" w:cs="Times New Roman"/>
          <w:sz w:val="20"/>
          <w:szCs w:val="20"/>
          <w:lang w:val="en-GB"/>
        </w:rPr>
        <w:t>Superclass of:</w:t>
      </w:r>
      <w:r w:rsidRPr="00030E59">
        <w:rPr>
          <w:rFonts w:ascii="Times New Roman" w:hAnsi="Times New Roman" w:cs="Times New Roman"/>
          <w:sz w:val="20"/>
          <w:szCs w:val="20"/>
          <w:lang w:val="en-GB"/>
        </w:rPr>
        <w:tab/>
      </w:r>
    </w:p>
    <w:p w:rsidR="00136B7B" w:rsidRPr="00030E59" w:rsidRDefault="00136B7B" w:rsidP="00136B7B">
      <w:pPr>
        <w:ind w:left="1440" w:hanging="1440"/>
        <w:rPr>
          <w:rFonts w:ascii="Times New Roman" w:hAnsi="Times New Roman" w:cs="Times New Roman"/>
          <w:sz w:val="20"/>
          <w:szCs w:val="20"/>
          <w:lang w:val="en-GB"/>
        </w:rPr>
      </w:pPr>
      <w:r w:rsidRPr="00030E59">
        <w:rPr>
          <w:rFonts w:ascii="Times New Roman" w:hAnsi="Times New Roman" w:cs="Times New Roman"/>
          <w:sz w:val="20"/>
          <w:szCs w:val="20"/>
          <w:lang w:val="en-GB"/>
        </w:rPr>
        <w:t>Scope note:</w:t>
      </w:r>
      <w:r w:rsidRPr="00030E59">
        <w:rPr>
          <w:rFonts w:ascii="Times New Roman" w:hAnsi="Times New Roman" w:cs="Times New Roman"/>
          <w:sz w:val="20"/>
          <w:szCs w:val="20"/>
          <w:lang w:val="en-GB"/>
        </w:rPr>
        <w:tab/>
        <w:t xml:space="preserve">This class comprises the action of an E39 Actor adopting a particular instance of I2 Belief to create a new instance of I2 Belief that shares some of the same propositions in the original I4 Proposition Set and the associated I6 Belief Value.  </w:t>
      </w:r>
    </w:p>
    <w:p w:rsidR="00136B7B" w:rsidRPr="00030E59" w:rsidRDefault="00136B7B" w:rsidP="00136B7B">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The basis of I7 Belief Adoption is trust in the source of the instance of I2 Belief rather than the application of the rules in instances of I3 Inference Logic.</w:t>
      </w:r>
    </w:p>
    <w:p w:rsidR="00136B7B" w:rsidRPr="00030E59" w:rsidRDefault="00136B7B" w:rsidP="00136B7B">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Typical examples are the citation of academic papers or the reuse of data sets.</w:t>
      </w:r>
    </w:p>
    <w:p w:rsidR="00136B7B" w:rsidRPr="00030E59" w:rsidRDefault="00136B7B" w:rsidP="00136B7B">
      <w:pPr>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lastRenderedPageBreak/>
        <w:t xml:space="preserve">Where an instance of I7 Belief Adoption is based on personal communication (marked as </w:t>
      </w:r>
      <w:proofErr w:type="spellStart"/>
      <w:r w:rsidRPr="00030E59">
        <w:rPr>
          <w:rFonts w:ascii="Times New Roman" w:hAnsi="Times New Roman" w:cs="Times New Roman"/>
          <w:sz w:val="20"/>
          <w:szCs w:val="20"/>
          <w:lang w:val="en-GB"/>
        </w:rPr>
        <w:t>pers.comm</w:t>
      </w:r>
      <w:proofErr w:type="spellEnd"/>
      <w:r w:rsidRPr="00030E59">
        <w:rPr>
          <w:rFonts w:ascii="Times New Roman" w:hAnsi="Times New Roman" w:cs="Times New Roman"/>
          <w:sz w:val="20"/>
          <w:szCs w:val="20"/>
          <w:lang w:val="en-GB"/>
        </w:rPr>
        <w:t xml:space="preserve">. in the studied text) this should be represented by using P2 </w:t>
      </w:r>
      <w:r w:rsidRPr="00030E59">
        <w:rPr>
          <w:rFonts w:ascii="Times New Roman" w:hAnsi="Times New Roman" w:cs="Times New Roman"/>
          <w:i/>
          <w:iCs/>
          <w:sz w:val="20"/>
          <w:szCs w:val="20"/>
          <w:lang w:val="en-GB"/>
        </w:rPr>
        <w:t>has type</w:t>
      </w:r>
      <w:r w:rsidRPr="00030E59">
        <w:rPr>
          <w:rFonts w:ascii="Times New Roman" w:hAnsi="Times New Roman" w:cs="Times New Roman"/>
          <w:sz w:val="20"/>
          <w:szCs w:val="20"/>
          <w:lang w:val="en-GB"/>
        </w:rPr>
        <w:t>: “</w:t>
      </w:r>
      <w:proofErr w:type="spellStart"/>
      <w:r w:rsidRPr="00030E59">
        <w:rPr>
          <w:rFonts w:ascii="Times New Roman" w:hAnsi="Times New Roman" w:cs="Times New Roman"/>
          <w:sz w:val="20"/>
          <w:szCs w:val="20"/>
          <w:lang w:val="en-GB"/>
        </w:rPr>
        <w:t>Pers.Comm</w:t>
      </w:r>
      <w:proofErr w:type="spellEnd"/>
      <w:r w:rsidRPr="00030E59">
        <w:rPr>
          <w:rFonts w:ascii="Times New Roman" w:hAnsi="Times New Roman" w:cs="Times New Roman"/>
          <w:sz w:val="20"/>
          <w:szCs w:val="20"/>
          <w:lang w:val="en-GB"/>
        </w:rPr>
        <w:t>.” directly from the instance of I7 Belief Adoption.</w:t>
      </w:r>
    </w:p>
    <w:p w:rsidR="00136B7B" w:rsidRPr="00030E59" w:rsidRDefault="00136B7B" w:rsidP="00136B7B">
      <w:pPr>
        <w:spacing w:after="0"/>
        <w:ind w:left="1440" w:hanging="1440"/>
        <w:rPr>
          <w:rFonts w:ascii="Times New Roman" w:hAnsi="Times New Roman" w:cs="Times New Roman"/>
          <w:sz w:val="20"/>
          <w:szCs w:val="20"/>
          <w:lang w:val="en-GB"/>
        </w:rPr>
      </w:pPr>
      <w:r w:rsidRPr="00030E59">
        <w:rPr>
          <w:rFonts w:ascii="Times New Roman" w:hAnsi="Times New Roman" w:cs="Times New Roman"/>
          <w:sz w:val="20"/>
          <w:szCs w:val="20"/>
          <w:lang w:val="en-GB"/>
        </w:rPr>
        <w:t>Properties:</w:t>
      </w:r>
      <w:r w:rsidRPr="00030E59">
        <w:rPr>
          <w:rFonts w:ascii="Times New Roman" w:hAnsi="Times New Roman" w:cs="Times New Roman"/>
          <w:sz w:val="20"/>
          <w:szCs w:val="20"/>
          <w:lang w:val="en-GB"/>
        </w:rPr>
        <w:tab/>
        <w:t>J6 adopted (adopted by): I2 Belief</w:t>
      </w:r>
    </w:p>
    <w:p w:rsidR="00136B7B" w:rsidRPr="00030E59" w:rsidRDefault="00136B7B" w:rsidP="00136B7B">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J7 is based on evidence from (was evidence for): E73 Information Object</w:t>
      </w:r>
    </w:p>
    <w:p w:rsidR="00136B7B" w:rsidRPr="00030E59" w:rsidRDefault="00136B7B" w:rsidP="00136B7B">
      <w:pPr>
        <w:spacing w:after="0"/>
        <w:ind w:left="1440"/>
        <w:rPr>
          <w:rFonts w:ascii="Times New Roman" w:hAnsi="Times New Roman" w:cs="Times New Roman"/>
          <w:sz w:val="20"/>
          <w:szCs w:val="20"/>
          <w:lang w:val="en-GB"/>
        </w:rPr>
      </w:pPr>
      <w:r w:rsidRPr="00030E59">
        <w:rPr>
          <w:rFonts w:ascii="Times New Roman" w:hAnsi="Times New Roman" w:cs="Times New Roman"/>
          <w:sz w:val="20"/>
          <w:szCs w:val="20"/>
          <w:lang w:val="en-GB"/>
        </w:rPr>
        <w:t>J11 used manifestation (was manifestation used by): F3 Manifestation</w:t>
      </w:r>
    </w:p>
    <w:p w:rsidR="00136B7B" w:rsidRPr="00030E59" w:rsidRDefault="00136B7B" w:rsidP="00136B7B">
      <w:pPr>
        <w:ind w:left="1440"/>
        <w:rPr>
          <w:rFonts w:ascii="Times New Roman" w:hAnsi="Times New Roman" w:cs="Times New Roman"/>
          <w:sz w:val="20"/>
          <w:szCs w:val="20"/>
          <w:lang w:val="en-GB"/>
        </w:rPr>
      </w:pPr>
      <w:r w:rsidRPr="00030E59">
        <w:rPr>
          <w:rFonts w:ascii="Times New Roman" w:hAnsi="Times New Roman" w:cs="Times New Roman"/>
          <w:bCs/>
          <w:sz w:val="20"/>
          <w:szCs w:val="20"/>
          <w:lang w:val="en-GB"/>
        </w:rPr>
        <w:t xml:space="preserve">J12 </w:t>
      </w:r>
      <w:r w:rsidRPr="00030E59">
        <w:rPr>
          <w:rFonts w:ascii="Times New Roman" w:hAnsi="Times New Roman" w:cs="Times New Roman"/>
          <w:sz w:val="20"/>
          <w:szCs w:val="20"/>
          <w:lang w:val="en-GB"/>
        </w:rPr>
        <w:t>used (was used by): F5 Item</w:t>
      </w:r>
    </w:p>
    <w:p w:rsidR="00136B7B" w:rsidRPr="00030E59" w:rsidRDefault="00136B7B" w:rsidP="00136B7B">
      <w:pPr>
        <w:rPr>
          <w:rFonts w:ascii="Times New Roman" w:hAnsi="Times New Roman" w:cs="Times New Roman"/>
          <w:sz w:val="20"/>
          <w:szCs w:val="20"/>
          <w:lang w:val="en-GB"/>
        </w:rPr>
      </w:pPr>
      <w:r w:rsidRPr="00030E59">
        <w:rPr>
          <w:rFonts w:ascii="Times New Roman" w:hAnsi="Times New Roman" w:cs="Times New Roman"/>
          <w:sz w:val="20"/>
          <w:szCs w:val="20"/>
          <w:lang w:val="en-GB"/>
        </w:rPr>
        <w:t>Examples:</w:t>
      </w:r>
      <w:r w:rsidRPr="00030E59">
        <w:rPr>
          <w:rFonts w:ascii="Times New Roman" w:hAnsi="Times New Roman" w:cs="Times New Roman"/>
          <w:sz w:val="20"/>
          <w:szCs w:val="20"/>
          <w:lang w:val="en-GB"/>
        </w:rPr>
        <w:tab/>
      </w:r>
    </w:p>
    <w:p w:rsidR="00136B7B" w:rsidRPr="00030E59" w:rsidRDefault="00136B7B" w:rsidP="00136B7B">
      <w:pPr>
        <w:pStyle w:val="ListParagraph"/>
        <w:numPr>
          <w:ilvl w:val="0"/>
          <w:numId w:val="1"/>
        </w:numPr>
        <w:rPr>
          <w:rFonts w:ascii="Times New Roman" w:hAnsi="Times New Roman" w:cs="Times New Roman"/>
          <w:sz w:val="20"/>
          <w:szCs w:val="20"/>
          <w:lang w:val="en-GB"/>
        </w:rPr>
      </w:pPr>
      <w:r w:rsidRPr="00030E59">
        <w:rPr>
          <w:rFonts w:ascii="Times New Roman" w:hAnsi="Times New Roman" w:cs="Times New Roman"/>
          <w:sz w:val="20"/>
          <w:szCs w:val="20"/>
          <w:lang w:val="en-GB"/>
        </w:rPr>
        <w:t xml:space="preserve">My adoption of the belief that </w:t>
      </w:r>
      <w:proofErr w:type="spellStart"/>
      <w:r w:rsidRPr="00030E59">
        <w:rPr>
          <w:rFonts w:ascii="Times New Roman" w:hAnsi="Times New Roman" w:cs="Times New Roman"/>
          <w:sz w:val="20"/>
          <w:szCs w:val="20"/>
          <w:lang w:val="en-GB"/>
        </w:rPr>
        <w:t>Dragendorff</w:t>
      </w:r>
      <w:proofErr w:type="spellEnd"/>
      <w:r w:rsidRPr="00030E59">
        <w:rPr>
          <w:rFonts w:ascii="Times New Roman" w:hAnsi="Times New Roman" w:cs="Times New Roman"/>
          <w:sz w:val="20"/>
          <w:szCs w:val="20"/>
          <w:lang w:val="en-GB"/>
        </w:rPr>
        <w:t xml:space="preserve"> type 29 bowls are from the 1st Century AD</w:t>
      </w:r>
    </w:p>
    <w:p w:rsidR="00D832CB" w:rsidRPr="00136B7B" w:rsidRDefault="00D832CB">
      <w:pPr>
        <w:rPr>
          <w:lang w:val="en-GB"/>
        </w:rPr>
      </w:pPr>
    </w:p>
    <w:sectPr w:rsidR="00D832CB" w:rsidRPr="00136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F29F3"/>
    <w:multiLevelType w:val="hybridMultilevel"/>
    <w:tmpl w:val="F8580C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7B"/>
    <w:rsid w:val="00136B7B"/>
    <w:rsid w:val="00D8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B5DB"/>
  <w15:chartTrackingRefBased/>
  <w15:docId w15:val="{ACAE362E-41E0-4BE8-8C5D-2C8C56F3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B7B"/>
  </w:style>
  <w:style w:type="paragraph" w:styleId="Heading4">
    <w:name w:val="heading 4"/>
    <w:basedOn w:val="Normal"/>
    <w:next w:val="Normal"/>
    <w:link w:val="Heading4Char"/>
    <w:uiPriority w:val="9"/>
    <w:unhideWhenUsed/>
    <w:qFormat/>
    <w:rsid w:val="00136B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36B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36B7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36B7B"/>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136B7B"/>
    <w:pPr>
      <w:ind w:left="720"/>
      <w:contextualSpacing/>
    </w:pPr>
  </w:style>
  <w:style w:type="character" w:styleId="Hyperlink">
    <w:name w:val="Hyperlink"/>
    <w:basedOn w:val="DefaultParagraphFont"/>
    <w:uiPriority w:val="99"/>
    <w:unhideWhenUsed/>
    <w:rsid w:val="00136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EywWv4dE2B1bH8NNm8ec0JGa6Af7_GsR/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2022-10-12T14:34:00Z</dcterms:created>
  <dcterms:modified xsi:type="dcterms:W3CDTF">2022-10-12T14:35:00Z</dcterms:modified>
</cp:coreProperties>
</file>