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CDC" w:rsidRDefault="00237CDC" w:rsidP="00237CDC">
      <w:pPr>
        <w:pStyle w:val="Heading3"/>
      </w:pPr>
      <w:r>
        <w:t xml:space="preserve">ISSUE 458: proofreading of the scope notes for P79 through P82. </w:t>
      </w:r>
    </w:p>
    <w:p w:rsidR="00237CDC" w:rsidRDefault="00237CDC" w:rsidP="00237CDC">
      <w:pPr>
        <w:pStyle w:val="Heading4"/>
      </w:pPr>
      <w:bookmarkStart w:id="0" w:name="_P79_beginning_is"/>
      <w:bookmarkEnd w:id="0"/>
      <w:r>
        <w:t>P79 beginning is qualified by</w:t>
      </w:r>
    </w:p>
    <w:p w:rsidR="00237CDC" w:rsidRDefault="00237CDC" w:rsidP="00237CDC">
      <w:pPr>
        <w:pStyle w:val="Heading5"/>
      </w:pPr>
      <w:r>
        <w:t>NEW</w:t>
      </w:r>
    </w:p>
    <w:p w:rsidR="00237CDC" w:rsidRPr="003C6CE7" w:rsidRDefault="00237CDC" w:rsidP="00237CDC">
      <w:pPr>
        <w:spacing w:after="0"/>
        <w:rPr>
          <w:rFonts w:cstheme="minorHAnsi"/>
          <w:b/>
          <w:bCs/>
          <w:sz w:val="20"/>
          <w:szCs w:val="20"/>
        </w:rPr>
      </w:pPr>
      <w:r w:rsidRPr="003C6CE7">
        <w:rPr>
          <w:rFonts w:cstheme="minorHAnsi"/>
          <w:b/>
          <w:bCs/>
          <w:sz w:val="20"/>
          <w:szCs w:val="20"/>
        </w:rPr>
        <w:t>P79 beginning is qualified by</w:t>
      </w:r>
      <w:r>
        <w:rPr>
          <w:rFonts w:cstheme="minorHAnsi"/>
          <w:b/>
          <w:bCs/>
          <w:sz w:val="20"/>
          <w:szCs w:val="20"/>
        </w:rPr>
        <w:t xml:space="preserve"> </w:t>
      </w:r>
    </w:p>
    <w:p w:rsidR="00237CDC" w:rsidRPr="003C6CE7" w:rsidRDefault="00237CDC" w:rsidP="00237CDC">
      <w:pPr>
        <w:spacing w:after="0"/>
        <w:rPr>
          <w:rFonts w:cstheme="minorHAnsi"/>
          <w:sz w:val="20"/>
          <w:szCs w:val="20"/>
        </w:rPr>
      </w:pPr>
      <w:r w:rsidRPr="003C6CE7">
        <w:rPr>
          <w:rFonts w:cstheme="minorHAnsi"/>
          <w:sz w:val="20"/>
          <w:szCs w:val="20"/>
        </w:rPr>
        <w:t>Domain:</w:t>
      </w:r>
      <w:r w:rsidRPr="003C6CE7">
        <w:rPr>
          <w:rFonts w:cstheme="minorHAnsi"/>
          <w:sz w:val="20"/>
          <w:szCs w:val="20"/>
        </w:rPr>
        <w:tab/>
      </w:r>
      <w:r w:rsidRPr="003C6CE7">
        <w:rPr>
          <w:rFonts w:cstheme="minorHAnsi"/>
          <w:sz w:val="20"/>
          <w:szCs w:val="20"/>
        </w:rPr>
        <w:tab/>
        <w:t>E52 Time-Span</w:t>
      </w:r>
    </w:p>
    <w:p w:rsidR="00237CDC" w:rsidRPr="003C6CE7" w:rsidRDefault="00237CDC" w:rsidP="00237CDC">
      <w:pPr>
        <w:spacing w:after="0"/>
        <w:rPr>
          <w:rFonts w:cstheme="minorHAnsi"/>
          <w:sz w:val="20"/>
          <w:szCs w:val="20"/>
        </w:rPr>
      </w:pPr>
      <w:r w:rsidRPr="003C6CE7">
        <w:rPr>
          <w:rFonts w:cstheme="minorHAnsi"/>
          <w:sz w:val="20"/>
          <w:szCs w:val="20"/>
        </w:rPr>
        <w:t>Range:</w:t>
      </w:r>
      <w:r w:rsidRPr="003C6CE7">
        <w:rPr>
          <w:rFonts w:cstheme="minorHAnsi"/>
          <w:sz w:val="20"/>
          <w:szCs w:val="20"/>
        </w:rPr>
        <w:tab/>
      </w:r>
      <w:r w:rsidRPr="003C6CE7">
        <w:rPr>
          <w:rFonts w:cstheme="minorHAnsi"/>
          <w:sz w:val="20"/>
          <w:szCs w:val="20"/>
        </w:rPr>
        <w:tab/>
        <w:t>E62 String</w:t>
      </w:r>
    </w:p>
    <w:p w:rsidR="00237CDC" w:rsidRPr="003C6CE7" w:rsidRDefault="00237CDC" w:rsidP="00237CDC">
      <w:pPr>
        <w:spacing w:after="0"/>
        <w:rPr>
          <w:rFonts w:cstheme="minorHAnsi"/>
          <w:sz w:val="20"/>
          <w:szCs w:val="20"/>
        </w:rPr>
      </w:pPr>
      <w:r w:rsidRPr="003C6CE7">
        <w:rPr>
          <w:rFonts w:cstheme="minorHAnsi"/>
          <w:sz w:val="20"/>
          <w:szCs w:val="20"/>
        </w:rPr>
        <w:t xml:space="preserve">Subproperty of: </w:t>
      </w:r>
      <w:r w:rsidRPr="003C6CE7">
        <w:rPr>
          <w:rFonts w:cstheme="minorHAnsi"/>
          <w:sz w:val="20"/>
          <w:szCs w:val="20"/>
        </w:rPr>
        <w:tab/>
        <w:t>E1 CRM Entity. P3 has note: E62 String</w:t>
      </w:r>
    </w:p>
    <w:p w:rsidR="00237CDC" w:rsidRPr="003C6CE7" w:rsidRDefault="00237CDC" w:rsidP="00237CDC">
      <w:pPr>
        <w:rPr>
          <w:rFonts w:cstheme="minorHAnsi"/>
          <w:sz w:val="20"/>
          <w:szCs w:val="20"/>
        </w:rPr>
      </w:pPr>
      <w:r w:rsidRPr="003C6CE7">
        <w:rPr>
          <w:rFonts w:cstheme="minorHAnsi"/>
          <w:sz w:val="20"/>
          <w:szCs w:val="20"/>
        </w:rPr>
        <w:t>Quantification:</w:t>
      </w:r>
      <w:r w:rsidRPr="003C6CE7">
        <w:rPr>
          <w:rFonts w:cstheme="minorHAnsi"/>
          <w:sz w:val="20"/>
          <w:szCs w:val="20"/>
        </w:rPr>
        <w:tab/>
        <w:t>many to one (0,1:</w:t>
      </w:r>
      <w:proofErr w:type="gramStart"/>
      <w:r w:rsidRPr="003C6CE7">
        <w:rPr>
          <w:rFonts w:cstheme="minorHAnsi"/>
          <w:sz w:val="20"/>
          <w:szCs w:val="20"/>
        </w:rPr>
        <w:t>0,n</w:t>
      </w:r>
      <w:proofErr w:type="gramEnd"/>
      <w:r w:rsidRPr="003C6CE7">
        <w:rPr>
          <w:rFonts w:cstheme="minorHAnsi"/>
          <w:sz w:val="20"/>
          <w:szCs w:val="20"/>
        </w:rPr>
        <w:t>)</w:t>
      </w:r>
    </w:p>
    <w:p w:rsidR="00237CDC" w:rsidRPr="003C6CE7" w:rsidRDefault="00237CDC" w:rsidP="00237CDC">
      <w:pPr>
        <w:ind w:left="1440" w:hanging="1440"/>
        <w:rPr>
          <w:rFonts w:cstheme="minorHAnsi"/>
          <w:sz w:val="20"/>
          <w:szCs w:val="20"/>
        </w:rPr>
      </w:pPr>
      <w:r w:rsidRPr="003C6CE7">
        <w:rPr>
          <w:rFonts w:cstheme="minorHAnsi"/>
          <w:sz w:val="20"/>
          <w:szCs w:val="20"/>
        </w:rPr>
        <w:t xml:space="preserve">Scope note:  </w:t>
      </w:r>
      <w:r>
        <w:rPr>
          <w:rFonts w:cstheme="minorHAnsi"/>
          <w:sz w:val="20"/>
          <w:szCs w:val="20"/>
        </w:rPr>
        <w:tab/>
      </w:r>
      <w:r w:rsidRPr="003C6CE7">
        <w:rPr>
          <w:rFonts w:cstheme="minorHAnsi"/>
          <w:sz w:val="20"/>
          <w:szCs w:val="20"/>
        </w:rPr>
        <w:t xml:space="preserve">This property associates an instance of E52 Time-Span with a note detailing the scholarly or scientific opinions and justifications about the certainty, precision, sources etc of its beginning. Such notes may also be used to elaborate arguments about constraints or to give explanations of alternatives. </w:t>
      </w:r>
    </w:p>
    <w:p w:rsidR="00237CDC" w:rsidRPr="003C6CE7" w:rsidRDefault="00237CDC" w:rsidP="00237CDC">
      <w:pPr>
        <w:spacing w:after="0"/>
        <w:rPr>
          <w:rFonts w:cstheme="minorHAnsi"/>
          <w:sz w:val="20"/>
          <w:szCs w:val="20"/>
        </w:rPr>
      </w:pPr>
      <w:r w:rsidRPr="003C6CE7">
        <w:rPr>
          <w:rFonts w:cstheme="minorHAnsi"/>
          <w:sz w:val="20"/>
          <w:szCs w:val="20"/>
        </w:rPr>
        <w:t xml:space="preserve">Examples:         </w:t>
      </w:r>
    </w:p>
    <w:p w:rsidR="00237CDC" w:rsidRPr="003C6CE7" w:rsidRDefault="00237CDC" w:rsidP="00237CDC">
      <w:pPr>
        <w:pStyle w:val="ListParagraph"/>
        <w:numPr>
          <w:ilvl w:val="2"/>
          <w:numId w:val="1"/>
        </w:numPr>
        <w:ind w:left="1800"/>
        <w:rPr>
          <w:rFonts w:cstheme="minorHAnsi"/>
          <w:sz w:val="20"/>
          <w:szCs w:val="20"/>
        </w:rPr>
      </w:pPr>
      <w:r w:rsidRPr="003C6CE7">
        <w:rPr>
          <w:rFonts w:cstheme="minorHAnsi"/>
          <w:sz w:val="20"/>
          <w:szCs w:val="20"/>
        </w:rPr>
        <w:t>the time-span of the Holocene (E52) beginning is qualified by “The formal definition and dating of the GSSP (Global Stratotype Section and Point) for the base of the Holocene using the Greenland NGRIP ice core, and selected auxiliary records” (Walker et al 2009) (E62)</w:t>
      </w:r>
    </w:p>
    <w:p w:rsidR="00237CDC" w:rsidRPr="003C6CE7" w:rsidRDefault="00237CDC" w:rsidP="00237CDC">
      <w:pPr>
        <w:spacing w:after="0"/>
        <w:rPr>
          <w:rFonts w:cstheme="minorHAnsi"/>
          <w:sz w:val="20"/>
          <w:szCs w:val="20"/>
        </w:rPr>
      </w:pPr>
      <w:r w:rsidRPr="003C6CE7">
        <w:rPr>
          <w:rFonts w:cstheme="minorHAnsi"/>
          <w:sz w:val="20"/>
          <w:szCs w:val="20"/>
        </w:rPr>
        <w:t>In First Order Logic:</w:t>
      </w:r>
    </w:p>
    <w:p w:rsidR="00237CDC" w:rsidRPr="003C6CE7" w:rsidRDefault="00237CDC" w:rsidP="00237CDC">
      <w:pPr>
        <w:spacing w:after="0"/>
        <w:rPr>
          <w:rFonts w:cstheme="minorHAnsi"/>
          <w:sz w:val="20"/>
          <w:szCs w:val="20"/>
        </w:rPr>
      </w:pPr>
      <w:r w:rsidRPr="003C6CE7">
        <w:rPr>
          <w:rFonts w:cstheme="minorHAnsi"/>
          <w:sz w:val="20"/>
          <w:szCs w:val="20"/>
        </w:rPr>
        <w:tab/>
      </w:r>
      <w:r w:rsidRPr="003C6CE7">
        <w:rPr>
          <w:rFonts w:cstheme="minorHAnsi"/>
          <w:sz w:val="20"/>
          <w:szCs w:val="20"/>
        </w:rPr>
        <w:tab/>
        <w:t>P79 (</w:t>
      </w:r>
      <w:proofErr w:type="gramStart"/>
      <w:r w:rsidRPr="003C6CE7">
        <w:rPr>
          <w:rFonts w:cstheme="minorHAnsi"/>
          <w:sz w:val="20"/>
          <w:szCs w:val="20"/>
        </w:rPr>
        <w:t>x,y</w:t>
      </w:r>
      <w:proofErr w:type="gramEnd"/>
      <w:r w:rsidRPr="003C6CE7">
        <w:rPr>
          <w:rFonts w:cstheme="minorHAnsi"/>
          <w:sz w:val="20"/>
          <w:szCs w:val="20"/>
        </w:rPr>
        <w:t xml:space="preserve">) </w:t>
      </w:r>
      <w:r w:rsidRPr="003C6CE7">
        <w:rPr>
          <w:rFonts w:ascii="Cambria Math" w:hAnsi="Cambria Math" w:cs="Cambria Math"/>
          <w:sz w:val="20"/>
          <w:szCs w:val="20"/>
        </w:rPr>
        <w:t>⊃</w:t>
      </w:r>
      <w:r w:rsidRPr="003C6CE7">
        <w:rPr>
          <w:rFonts w:cstheme="minorHAnsi"/>
          <w:sz w:val="20"/>
          <w:szCs w:val="20"/>
        </w:rPr>
        <w:t xml:space="preserve"> E52 (x)</w:t>
      </w:r>
    </w:p>
    <w:p w:rsidR="00237CDC" w:rsidRPr="003C6CE7" w:rsidRDefault="00237CDC" w:rsidP="00237CDC">
      <w:pPr>
        <w:spacing w:after="0"/>
        <w:rPr>
          <w:rFonts w:cstheme="minorHAnsi"/>
          <w:sz w:val="20"/>
          <w:szCs w:val="20"/>
        </w:rPr>
      </w:pPr>
      <w:r w:rsidRPr="003C6CE7">
        <w:rPr>
          <w:rFonts w:cstheme="minorHAnsi"/>
          <w:sz w:val="20"/>
          <w:szCs w:val="20"/>
        </w:rPr>
        <w:tab/>
      </w:r>
      <w:r w:rsidRPr="003C6CE7">
        <w:rPr>
          <w:rFonts w:cstheme="minorHAnsi"/>
          <w:sz w:val="20"/>
          <w:szCs w:val="20"/>
        </w:rPr>
        <w:tab/>
        <w:t>P79 (</w:t>
      </w:r>
      <w:proofErr w:type="gramStart"/>
      <w:r w:rsidRPr="003C6CE7">
        <w:rPr>
          <w:rFonts w:cstheme="minorHAnsi"/>
          <w:sz w:val="20"/>
          <w:szCs w:val="20"/>
        </w:rPr>
        <w:t>x,y</w:t>
      </w:r>
      <w:proofErr w:type="gramEnd"/>
      <w:r w:rsidRPr="003C6CE7">
        <w:rPr>
          <w:rFonts w:cstheme="minorHAnsi"/>
          <w:sz w:val="20"/>
          <w:szCs w:val="20"/>
        </w:rPr>
        <w:t xml:space="preserve">) </w:t>
      </w:r>
      <w:r w:rsidRPr="003C6CE7">
        <w:rPr>
          <w:rFonts w:ascii="Cambria Math" w:hAnsi="Cambria Math" w:cs="Cambria Math"/>
          <w:sz w:val="20"/>
          <w:szCs w:val="20"/>
        </w:rPr>
        <w:t>⊃</w:t>
      </w:r>
      <w:r w:rsidRPr="003C6CE7">
        <w:rPr>
          <w:rFonts w:cstheme="minorHAnsi"/>
          <w:sz w:val="20"/>
          <w:szCs w:val="20"/>
        </w:rPr>
        <w:t xml:space="preserve"> E62(y) </w:t>
      </w:r>
    </w:p>
    <w:p w:rsidR="00237CDC" w:rsidRPr="003C6CE7" w:rsidRDefault="00237CDC" w:rsidP="00237CDC">
      <w:pPr>
        <w:rPr>
          <w:rFonts w:cstheme="minorHAnsi"/>
          <w:sz w:val="20"/>
          <w:szCs w:val="20"/>
        </w:rPr>
      </w:pPr>
      <w:r w:rsidRPr="003C6CE7">
        <w:rPr>
          <w:rFonts w:cstheme="minorHAnsi"/>
          <w:sz w:val="20"/>
          <w:szCs w:val="20"/>
        </w:rPr>
        <w:tab/>
      </w:r>
      <w:r w:rsidRPr="003C6CE7">
        <w:rPr>
          <w:rFonts w:cstheme="minorHAnsi"/>
          <w:sz w:val="20"/>
          <w:szCs w:val="20"/>
        </w:rPr>
        <w:tab/>
        <w:t>P79(</w:t>
      </w:r>
      <w:proofErr w:type="gramStart"/>
      <w:r w:rsidRPr="003C6CE7">
        <w:rPr>
          <w:rFonts w:cstheme="minorHAnsi"/>
          <w:sz w:val="20"/>
          <w:szCs w:val="20"/>
        </w:rPr>
        <w:t>x,y</w:t>
      </w:r>
      <w:proofErr w:type="gramEnd"/>
      <w:r w:rsidRPr="003C6CE7">
        <w:rPr>
          <w:rFonts w:cstheme="minorHAnsi"/>
          <w:sz w:val="20"/>
          <w:szCs w:val="20"/>
        </w:rPr>
        <w:t xml:space="preserve">) </w:t>
      </w:r>
      <w:r w:rsidRPr="003C6CE7">
        <w:rPr>
          <w:rFonts w:ascii="Cambria Math" w:hAnsi="Cambria Math" w:cs="Cambria Math"/>
          <w:sz w:val="20"/>
          <w:szCs w:val="20"/>
        </w:rPr>
        <w:t>⊃</w:t>
      </w:r>
      <w:r w:rsidRPr="003C6CE7">
        <w:rPr>
          <w:rFonts w:cstheme="minorHAnsi"/>
          <w:sz w:val="20"/>
          <w:szCs w:val="20"/>
        </w:rPr>
        <w:t xml:space="preserve"> P3(x,y)</w:t>
      </w:r>
    </w:p>
    <w:p w:rsidR="00237CDC" w:rsidRDefault="00237CDC" w:rsidP="00237CDC">
      <w:pPr>
        <w:pStyle w:val="Heading5"/>
      </w:pPr>
      <w:r>
        <w:t>OLD</w:t>
      </w:r>
    </w:p>
    <w:p w:rsidR="00237CDC" w:rsidRPr="003C6CE7" w:rsidRDefault="00237CDC" w:rsidP="00237CDC">
      <w:pPr>
        <w:spacing w:after="0"/>
        <w:rPr>
          <w:b/>
          <w:bCs/>
          <w:sz w:val="20"/>
          <w:szCs w:val="20"/>
        </w:rPr>
      </w:pPr>
      <w:r w:rsidRPr="003C6CE7">
        <w:rPr>
          <w:b/>
          <w:bCs/>
          <w:sz w:val="20"/>
          <w:szCs w:val="20"/>
        </w:rPr>
        <w:t xml:space="preserve">P79 beginning is qualified by </w:t>
      </w:r>
    </w:p>
    <w:p w:rsidR="00237CDC" w:rsidRPr="003C6CE7" w:rsidRDefault="00237CDC" w:rsidP="00237CDC">
      <w:pPr>
        <w:spacing w:after="0"/>
        <w:rPr>
          <w:sz w:val="20"/>
          <w:szCs w:val="20"/>
        </w:rPr>
      </w:pPr>
      <w:r w:rsidRPr="003C6CE7">
        <w:rPr>
          <w:sz w:val="20"/>
          <w:szCs w:val="20"/>
        </w:rPr>
        <w:t>Domain:</w:t>
      </w:r>
      <w:r w:rsidRPr="003C6CE7">
        <w:rPr>
          <w:sz w:val="20"/>
          <w:szCs w:val="20"/>
        </w:rPr>
        <w:tab/>
      </w:r>
      <w:r w:rsidRPr="003C6CE7">
        <w:rPr>
          <w:sz w:val="20"/>
          <w:szCs w:val="20"/>
        </w:rPr>
        <w:tab/>
        <w:t>E52 Time-Span</w:t>
      </w:r>
    </w:p>
    <w:p w:rsidR="00237CDC" w:rsidRPr="003C6CE7" w:rsidRDefault="00237CDC" w:rsidP="00237CDC">
      <w:pPr>
        <w:spacing w:after="0"/>
        <w:rPr>
          <w:sz w:val="20"/>
          <w:szCs w:val="20"/>
        </w:rPr>
      </w:pPr>
      <w:r w:rsidRPr="003C6CE7">
        <w:rPr>
          <w:sz w:val="20"/>
          <w:szCs w:val="20"/>
        </w:rPr>
        <w:t>Range:</w:t>
      </w:r>
      <w:r w:rsidRPr="003C6CE7">
        <w:rPr>
          <w:sz w:val="20"/>
          <w:szCs w:val="20"/>
        </w:rPr>
        <w:tab/>
      </w:r>
      <w:r w:rsidRPr="003C6CE7">
        <w:rPr>
          <w:sz w:val="20"/>
          <w:szCs w:val="20"/>
        </w:rPr>
        <w:tab/>
        <w:t>E62 String</w:t>
      </w:r>
    </w:p>
    <w:p w:rsidR="00237CDC" w:rsidRPr="003C6CE7" w:rsidRDefault="00237CDC" w:rsidP="00237CDC">
      <w:pPr>
        <w:spacing w:after="0"/>
        <w:rPr>
          <w:sz w:val="20"/>
          <w:szCs w:val="20"/>
        </w:rPr>
      </w:pPr>
      <w:r w:rsidRPr="003C6CE7">
        <w:rPr>
          <w:sz w:val="20"/>
          <w:szCs w:val="20"/>
        </w:rPr>
        <w:t xml:space="preserve">Subproperty of: </w:t>
      </w:r>
      <w:r w:rsidRPr="003C6CE7">
        <w:rPr>
          <w:sz w:val="20"/>
          <w:szCs w:val="20"/>
        </w:rPr>
        <w:tab/>
        <w:t>E1 CRM Entity. P3 has note: E62 String</w:t>
      </w:r>
    </w:p>
    <w:p w:rsidR="00237CDC" w:rsidRPr="003C6CE7" w:rsidRDefault="00237CDC" w:rsidP="00237CDC">
      <w:pPr>
        <w:rPr>
          <w:sz w:val="20"/>
          <w:szCs w:val="20"/>
        </w:rPr>
      </w:pPr>
      <w:r w:rsidRPr="003C6CE7">
        <w:rPr>
          <w:sz w:val="20"/>
          <w:szCs w:val="20"/>
        </w:rPr>
        <w:t>Quantification:</w:t>
      </w:r>
      <w:r w:rsidRPr="003C6CE7">
        <w:rPr>
          <w:sz w:val="20"/>
          <w:szCs w:val="20"/>
        </w:rPr>
        <w:tab/>
        <w:t>many to one (0,1:</w:t>
      </w:r>
      <w:proofErr w:type="gramStart"/>
      <w:r w:rsidRPr="003C6CE7">
        <w:rPr>
          <w:sz w:val="20"/>
          <w:szCs w:val="20"/>
        </w:rPr>
        <w:t>0,n</w:t>
      </w:r>
      <w:proofErr w:type="gramEnd"/>
      <w:r w:rsidRPr="003C6CE7">
        <w:rPr>
          <w:sz w:val="20"/>
          <w:szCs w:val="20"/>
        </w:rPr>
        <w:t>)</w:t>
      </w:r>
    </w:p>
    <w:p w:rsidR="00237CDC" w:rsidRPr="003C6CE7" w:rsidRDefault="00237CDC" w:rsidP="00237CDC">
      <w:pPr>
        <w:ind w:left="1440" w:hanging="1440"/>
        <w:rPr>
          <w:sz w:val="20"/>
          <w:szCs w:val="20"/>
        </w:rPr>
      </w:pPr>
      <w:r w:rsidRPr="003C6CE7">
        <w:rPr>
          <w:sz w:val="20"/>
          <w:szCs w:val="20"/>
        </w:rPr>
        <w:t xml:space="preserve">Scope note:  </w:t>
      </w:r>
      <w:r>
        <w:rPr>
          <w:sz w:val="20"/>
          <w:szCs w:val="20"/>
        </w:rPr>
        <w:tab/>
      </w:r>
      <w:r w:rsidRPr="003C6CE7">
        <w:rPr>
          <w:sz w:val="20"/>
          <w:szCs w:val="20"/>
        </w:rPr>
        <w:t xml:space="preserve">This property associates an instance of E52 Time-Span with a note detailing the scholarly or scientific opinions and justifications about the beginning of this time-span concerning certainty, precision, sources etc. This property may also be used to describe arguments constraining possible dates and to distinguish reasons for alternative dates. </w:t>
      </w:r>
    </w:p>
    <w:p w:rsidR="00237CDC" w:rsidRPr="003C6CE7" w:rsidRDefault="00237CDC" w:rsidP="00237CDC">
      <w:pPr>
        <w:spacing w:after="0"/>
        <w:rPr>
          <w:sz w:val="20"/>
          <w:szCs w:val="20"/>
        </w:rPr>
      </w:pPr>
      <w:r w:rsidRPr="003C6CE7">
        <w:rPr>
          <w:sz w:val="20"/>
          <w:szCs w:val="20"/>
        </w:rPr>
        <w:t xml:space="preserve">Examples:         </w:t>
      </w:r>
    </w:p>
    <w:p w:rsidR="00237CDC" w:rsidRPr="003C6CE7" w:rsidRDefault="00237CDC" w:rsidP="00237CDC">
      <w:pPr>
        <w:pStyle w:val="ListParagraph"/>
        <w:numPr>
          <w:ilvl w:val="2"/>
          <w:numId w:val="1"/>
        </w:numPr>
        <w:ind w:left="1800"/>
        <w:rPr>
          <w:sz w:val="20"/>
          <w:szCs w:val="20"/>
        </w:rPr>
      </w:pPr>
      <w:r w:rsidRPr="003C6CE7">
        <w:rPr>
          <w:sz w:val="20"/>
          <w:szCs w:val="20"/>
        </w:rPr>
        <w:t>the time-span of the Holocene (E52) beginning is qualified by “The formal definition and dating of the GSSP (GlobalStratotype Section and Point) for the base of theHolocene using the Greenland NGRIP ice core,and selected auxiliary records”  (E62)</w:t>
      </w:r>
    </w:p>
    <w:p w:rsidR="00237CDC" w:rsidRPr="003C6CE7" w:rsidRDefault="00237CDC" w:rsidP="00237CDC">
      <w:pPr>
        <w:spacing w:after="0"/>
        <w:rPr>
          <w:sz w:val="20"/>
          <w:szCs w:val="20"/>
        </w:rPr>
      </w:pPr>
      <w:r w:rsidRPr="003C6CE7">
        <w:rPr>
          <w:sz w:val="20"/>
          <w:szCs w:val="20"/>
        </w:rPr>
        <w:t>In First Order Logic:</w:t>
      </w:r>
    </w:p>
    <w:p w:rsidR="00237CDC" w:rsidRPr="003C6CE7" w:rsidRDefault="00237CDC" w:rsidP="00237CDC">
      <w:pPr>
        <w:spacing w:after="0"/>
        <w:rPr>
          <w:sz w:val="20"/>
          <w:szCs w:val="20"/>
        </w:rPr>
      </w:pPr>
      <w:r w:rsidRPr="003C6CE7">
        <w:rPr>
          <w:sz w:val="20"/>
          <w:szCs w:val="20"/>
        </w:rPr>
        <w:tab/>
      </w:r>
      <w:r w:rsidRPr="003C6CE7">
        <w:rPr>
          <w:sz w:val="20"/>
          <w:szCs w:val="20"/>
        </w:rPr>
        <w:tab/>
        <w:t>P79 (</w:t>
      </w:r>
      <w:proofErr w:type="gramStart"/>
      <w:r w:rsidRPr="003C6CE7">
        <w:rPr>
          <w:sz w:val="20"/>
          <w:szCs w:val="20"/>
        </w:rPr>
        <w:t>x,y</w:t>
      </w:r>
      <w:proofErr w:type="gramEnd"/>
      <w:r w:rsidRPr="003C6CE7">
        <w:rPr>
          <w:sz w:val="20"/>
          <w:szCs w:val="20"/>
        </w:rPr>
        <w:t xml:space="preserve">) </w:t>
      </w:r>
      <w:r w:rsidRPr="003C6CE7">
        <w:rPr>
          <w:rFonts w:ascii="Cambria Math" w:hAnsi="Cambria Math" w:cs="Cambria Math"/>
          <w:sz w:val="20"/>
          <w:szCs w:val="20"/>
        </w:rPr>
        <w:t>⊃</w:t>
      </w:r>
      <w:r w:rsidRPr="003C6CE7">
        <w:rPr>
          <w:sz w:val="20"/>
          <w:szCs w:val="20"/>
        </w:rPr>
        <w:t xml:space="preserve"> E52 (x)</w:t>
      </w:r>
    </w:p>
    <w:p w:rsidR="00237CDC" w:rsidRPr="003C6CE7" w:rsidRDefault="00237CDC" w:rsidP="00237CDC">
      <w:pPr>
        <w:spacing w:after="0"/>
        <w:rPr>
          <w:sz w:val="20"/>
          <w:szCs w:val="20"/>
        </w:rPr>
      </w:pPr>
      <w:r w:rsidRPr="003C6CE7">
        <w:rPr>
          <w:sz w:val="20"/>
          <w:szCs w:val="20"/>
        </w:rPr>
        <w:tab/>
      </w:r>
      <w:r w:rsidRPr="003C6CE7">
        <w:rPr>
          <w:sz w:val="20"/>
          <w:szCs w:val="20"/>
        </w:rPr>
        <w:tab/>
        <w:t>P79 (</w:t>
      </w:r>
      <w:proofErr w:type="gramStart"/>
      <w:r w:rsidRPr="003C6CE7">
        <w:rPr>
          <w:sz w:val="20"/>
          <w:szCs w:val="20"/>
        </w:rPr>
        <w:t>x,y</w:t>
      </w:r>
      <w:proofErr w:type="gramEnd"/>
      <w:r w:rsidRPr="003C6CE7">
        <w:rPr>
          <w:sz w:val="20"/>
          <w:szCs w:val="20"/>
        </w:rPr>
        <w:t xml:space="preserve">) </w:t>
      </w:r>
      <w:r w:rsidRPr="003C6CE7">
        <w:rPr>
          <w:rFonts w:ascii="Cambria Math" w:hAnsi="Cambria Math" w:cs="Cambria Math"/>
          <w:sz w:val="20"/>
          <w:szCs w:val="20"/>
        </w:rPr>
        <w:t>⊃</w:t>
      </w:r>
      <w:r w:rsidRPr="003C6CE7">
        <w:rPr>
          <w:sz w:val="20"/>
          <w:szCs w:val="20"/>
        </w:rPr>
        <w:t xml:space="preserve"> E62(y) </w:t>
      </w:r>
    </w:p>
    <w:p w:rsidR="00237CDC" w:rsidRPr="003873E4" w:rsidRDefault="00237CDC" w:rsidP="00237CDC">
      <w:pPr>
        <w:rPr>
          <w:sz w:val="20"/>
          <w:szCs w:val="20"/>
        </w:rPr>
      </w:pPr>
      <w:r w:rsidRPr="003C6CE7">
        <w:rPr>
          <w:sz w:val="20"/>
          <w:szCs w:val="20"/>
        </w:rPr>
        <w:tab/>
      </w:r>
      <w:r w:rsidRPr="003C6CE7">
        <w:rPr>
          <w:sz w:val="20"/>
          <w:szCs w:val="20"/>
        </w:rPr>
        <w:tab/>
        <w:t>P79(</w:t>
      </w:r>
      <w:proofErr w:type="gramStart"/>
      <w:r w:rsidRPr="003C6CE7">
        <w:rPr>
          <w:sz w:val="20"/>
          <w:szCs w:val="20"/>
        </w:rPr>
        <w:t>x,y</w:t>
      </w:r>
      <w:proofErr w:type="gramEnd"/>
      <w:r w:rsidRPr="003C6CE7">
        <w:rPr>
          <w:sz w:val="20"/>
          <w:szCs w:val="20"/>
        </w:rPr>
        <w:t xml:space="preserve">) </w:t>
      </w:r>
      <w:r w:rsidRPr="003C6CE7">
        <w:rPr>
          <w:rFonts w:ascii="Cambria Math" w:hAnsi="Cambria Math" w:cs="Cambria Math"/>
          <w:sz w:val="20"/>
          <w:szCs w:val="20"/>
        </w:rPr>
        <w:t>⊃</w:t>
      </w:r>
      <w:r w:rsidRPr="003C6CE7">
        <w:rPr>
          <w:sz w:val="20"/>
          <w:szCs w:val="20"/>
        </w:rPr>
        <w:t xml:space="preserve"> P3(x,y)</w:t>
      </w:r>
    </w:p>
    <w:p w:rsidR="00237CDC" w:rsidRDefault="00237CDC" w:rsidP="00237CDC">
      <w:pPr>
        <w:pStyle w:val="Heading4"/>
      </w:pPr>
      <w:bookmarkStart w:id="1" w:name="_P80_end_is"/>
      <w:bookmarkEnd w:id="1"/>
      <w:r>
        <w:t>P80 end is qualified by</w:t>
      </w:r>
    </w:p>
    <w:p w:rsidR="00237CDC" w:rsidRPr="00EC58D2" w:rsidRDefault="00237CDC" w:rsidP="00237CDC">
      <w:pPr>
        <w:pStyle w:val="Heading5"/>
      </w:pPr>
      <w:r w:rsidRPr="00EC58D2">
        <w:t>NEW</w:t>
      </w:r>
    </w:p>
    <w:p w:rsidR="00237CDC" w:rsidRPr="008A27AC" w:rsidRDefault="00237CDC" w:rsidP="00237CDC">
      <w:pPr>
        <w:spacing w:after="0"/>
        <w:rPr>
          <w:rFonts w:cstheme="minorHAnsi"/>
          <w:b/>
          <w:bCs/>
          <w:sz w:val="20"/>
          <w:szCs w:val="20"/>
        </w:rPr>
      </w:pPr>
      <w:r w:rsidRPr="008A27AC">
        <w:rPr>
          <w:rFonts w:cstheme="minorHAnsi"/>
          <w:b/>
          <w:bCs/>
          <w:sz w:val="20"/>
          <w:szCs w:val="20"/>
        </w:rPr>
        <w:t>P80 end is qualified by</w:t>
      </w:r>
    </w:p>
    <w:p w:rsidR="00237CDC" w:rsidRPr="008A27AC" w:rsidRDefault="00237CDC" w:rsidP="00237CDC">
      <w:pPr>
        <w:spacing w:after="0"/>
        <w:rPr>
          <w:rFonts w:cstheme="minorHAnsi"/>
          <w:sz w:val="20"/>
          <w:szCs w:val="20"/>
        </w:rPr>
      </w:pPr>
      <w:r w:rsidRPr="008A27AC">
        <w:rPr>
          <w:rFonts w:cstheme="minorHAnsi"/>
          <w:sz w:val="20"/>
          <w:szCs w:val="20"/>
        </w:rPr>
        <w:t>Domain:</w:t>
      </w:r>
      <w:r w:rsidRPr="008A27AC">
        <w:rPr>
          <w:rFonts w:cstheme="minorHAnsi"/>
          <w:sz w:val="20"/>
          <w:szCs w:val="20"/>
        </w:rPr>
        <w:tab/>
      </w:r>
      <w:r>
        <w:rPr>
          <w:rFonts w:cstheme="minorHAnsi"/>
          <w:sz w:val="20"/>
          <w:szCs w:val="20"/>
        </w:rPr>
        <w:tab/>
      </w:r>
      <w:r w:rsidRPr="008A27AC">
        <w:rPr>
          <w:rFonts w:cstheme="minorHAnsi"/>
          <w:sz w:val="20"/>
          <w:szCs w:val="20"/>
        </w:rPr>
        <w:t>E52 Time-Span</w:t>
      </w:r>
    </w:p>
    <w:p w:rsidR="00237CDC" w:rsidRPr="008A27AC" w:rsidRDefault="00237CDC" w:rsidP="00237CDC">
      <w:pPr>
        <w:spacing w:after="0"/>
        <w:rPr>
          <w:rFonts w:cstheme="minorHAnsi"/>
          <w:sz w:val="20"/>
          <w:szCs w:val="20"/>
        </w:rPr>
      </w:pPr>
      <w:r w:rsidRPr="008A27AC">
        <w:rPr>
          <w:rFonts w:cstheme="minorHAnsi"/>
          <w:sz w:val="20"/>
          <w:szCs w:val="20"/>
        </w:rPr>
        <w:t>Range:</w:t>
      </w:r>
      <w:r w:rsidRPr="008A27AC">
        <w:rPr>
          <w:rFonts w:cstheme="minorHAnsi"/>
          <w:sz w:val="20"/>
          <w:szCs w:val="20"/>
        </w:rPr>
        <w:tab/>
      </w:r>
      <w:r w:rsidRPr="008A27AC">
        <w:rPr>
          <w:rFonts w:cstheme="minorHAnsi"/>
          <w:sz w:val="20"/>
          <w:szCs w:val="20"/>
        </w:rPr>
        <w:tab/>
        <w:t>E62 String</w:t>
      </w:r>
    </w:p>
    <w:p w:rsidR="00237CDC" w:rsidRPr="008A27AC" w:rsidRDefault="00237CDC" w:rsidP="00237CDC">
      <w:pPr>
        <w:spacing w:after="0"/>
        <w:rPr>
          <w:rFonts w:cstheme="minorHAnsi"/>
          <w:sz w:val="20"/>
          <w:szCs w:val="20"/>
        </w:rPr>
      </w:pPr>
      <w:r w:rsidRPr="008A27AC">
        <w:rPr>
          <w:rFonts w:cstheme="minorHAnsi"/>
          <w:sz w:val="20"/>
          <w:szCs w:val="20"/>
        </w:rPr>
        <w:t xml:space="preserve">Subproperty of: </w:t>
      </w:r>
      <w:r>
        <w:rPr>
          <w:rFonts w:cstheme="minorHAnsi"/>
          <w:sz w:val="20"/>
          <w:szCs w:val="20"/>
        </w:rPr>
        <w:tab/>
      </w:r>
      <w:r w:rsidRPr="008A27AC">
        <w:rPr>
          <w:rFonts w:cstheme="minorHAnsi"/>
          <w:sz w:val="20"/>
          <w:szCs w:val="20"/>
        </w:rPr>
        <w:t>E1 CRM Entity. P3 has note: E62 String</w:t>
      </w:r>
    </w:p>
    <w:p w:rsidR="00237CDC" w:rsidRPr="008A27AC" w:rsidRDefault="00237CDC" w:rsidP="00237CDC">
      <w:pPr>
        <w:rPr>
          <w:rFonts w:cstheme="minorHAnsi"/>
          <w:sz w:val="20"/>
          <w:szCs w:val="20"/>
        </w:rPr>
      </w:pPr>
      <w:r w:rsidRPr="008A27AC">
        <w:rPr>
          <w:rFonts w:cstheme="minorHAnsi"/>
          <w:sz w:val="20"/>
          <w:szCs w:val="20"/>
        </w:rPr>
        <w:lastRenderedPageBreak/>
        <w:t>Quantification:</w:t>
      </w:r>
      <w:r w:rsidRPr="008A27AC">
        <w:rPr>
          <w:rFonts w:cstheme="minorHAnsi"/>
          <w:sz w:val="20"/>
          <w:szCs w:val="20"/>
        </w:rPr>
        <w:tab/>
        <w:t>many to one (0,1:</w:t>
      </w:r>
      <w:proofErr w:type="gramStart"/>
      <w:r w:rsidRPr="008A27AC">
        <w:rPr>
          <w:rFonts w:cstheme="minorHAnsi"/>
          <w:sz w:val="20"/>
          <w:szCs w:val="20"/>
        </w:rPr>
        <w:t>0,n</w:t>
      </w:r>
      <w:proofErr w:type="gramEnd"/>
      <w:r w:rsidRPr="008A27AC">
        <w:rPr>
          <w:rFonts w:cstheme="minorHAnsi"/>
          <w:sz w:val="20"/>
          <w:szCs w:val="20"/>
        </w:rPr>
        <w:t>)</w:t>
      </w:r>
    </w:p>
    <w:p w:rsidR="00237CDC" w:rsidRPr="008A27AC" w:rsidRDefault="00237CDC" w:rsidP="00237CDC">
      <w:pPr>
        <w:rPr>
          <w:rFonts w:cstheme="minorHAnsi"/>
          <w:sz w:val="20"/>
          <w:szCs w:val="20"/>
        </w:rPr>
      </w:pPr>
    </w:p>
    <w:p w:rsidR="00237CDC" w:rsidRPr="008A27AC" w:rsidRDefault="00237CDC" w:rsidP="00237CDC">
      <w:pPr>
        <w:ind w:left="1080" w:hanging="1080"/>
        <w:rPr>
          <w:rFonts w:cstheme="minorHAnsi"/>
          <w:sz w:val="20"/>
          <w:szCs w:val="20"/>
        </w:rPr>
      </w:pPr>
      <w:r w:rsidRPr="008A27AC">
        <w:rPr>
          <w:rFonts w:cstheme="minorHAnsi"/>
          <w:sz w:val="20"/>
          <w:szCs w:val="20"/>
        </w:rPr>
        <w:t xml:space="preserve">Scope note:  This property associates an instance of E52 Time-Span with a note detailing the scholarly or scientific opinions and justifications about the certainty, precision, sources etc of its end. Such notes may also be used to elaborate arguments about constraints or to give explanations of alternatives. </w:t>
      </w:r>
    </w:p>
    <w:p w:rsidR="00237CDC" w:rsidRPr="008A27AC" w:rsidRDefault="00237CDC" w:rsidP="00237CDC">
      <w:pPr>
        <w:spacing w:after="0"/>
        <w:rPr>
          <w:rFonts w:cstheme="minorHAnsi"/>
          <w:sz w:val="20"/>
          <w:szCs w:val="20"/>
        </w:rPr>
      </w:pPr>
      <w:r w:rsidRPr="008A27AC">
        <w:rPr>
          <w:rFonts w:cstheme="minorHAnsi"/>
          <w:sz w:val="20"/>
          <w:szCs w:val="20"/>
        </w:rPr>
        <w:t>Examples:</w:t>
      </w:r>
      <w:r w:rsidRPr="008A27AC">
        <w:rPr>
          <w:rFonts w:cstheme="minorHAnsi"/>
          <w:sz w:val="20"/>
          <w:szCs w:val="20"/>
        </w:rPr>
        <w:tab/>
      </w:r>
    </w:p>
    <w:p w:rsidR="00237CDC" w:rsidRPr="008A27AC" w:rsidRDefault="00237CDC" w:rsidP="00237CDC">
      <w:pPr>
        <w:pStyle w:val="ListParagraph"/>
        <w:numPr>
          <w:ilvl w:val="2"/>
          <w:numId w:val="1"/>
        </w:numPr>
        <w:ind w:left="1800"/>
        <w:rPr>
          <w:rFonts w:cstheme="minorHAnsi"/>
          <w:sz w:val="20"/>
          <w:szCs w:val="20"/>
        </w:rPr>
      </w:pPr>
      <w:r w:rsidRPr="008A27AC">
        <w:rPr>
          <w:rFonts w:cstheme="minorHAnsi"/>
          <w:sz w:val="20"/>
          <w:szCs w:val="20"/>
        </w:rPr>
        <w:t>the time-span of the Holocene (E52) end is qualified by “still ongoing” (E62)</w:t>
      </w:r>
    </w:p>
    <w:p w:rsidR="00237CDC" w:rsidRPr="008A27AC" w:rsidRDefault="00237CDC" w:rsidP="00237CDC">
      <w:pPr>
        <w:spacing w:after="0"/>
        <w:rPr>
          <w:rFonts w:cstheme="minorHAnsi"/>
          <w:sz w:val="20"/>
          <w:szCs w:val="20"/>
        </w:rPr>
      </w:pPr>
      <w:r w:rsidRPr="008A27AC">
        <w:rPr>
          <w:rFonts w:cstheme="minorHAnsi"/>
          <w:sz w:val="20"/>
          <w:szCs w:val="20"/>
        </w:rPr>
        <w:t>In First Order Logic:</w:t>
      </w:r>
    </w:p>
    <w:p w:rsidR="00237CDC" w:rsidRPr="008A27AC" w:rsidRDefault="00237CDC" w:rsidP="00237CDC">
      <w:pPr>
        <w:spacing w:after="0"/>
        <w:rPr>
          <w:rFonts w:cstheme="minorHAnsi"/>
          <w:sz w:val="20"/>
          <w:szCs w:val="20"/>
        </w:rPr>
      </w:pPr>
      <w:r w:rsidRPr="008A27AC">
        <w:rPr>
          <w:rFonts w:cstheme="minorHAnsi"/>
          <w:sz w:val="20"/>
          <w:szCs w:val="20"/>
        </w:rPr>
        <w:tab/>
      </w:r>
      <w:r w:rsidRPr="008A27AC">
        <w:rPr>
          <w:rFonts w:cstheme="minorHAnsi"/>
          <w:sz w:val="20"/>
          <w:szCs w:val="20"/>
        </w:rPr>
        <w:tab/>
        <w:t>P80(</w:t>
      </w:r>
      <w:proofErr w:type="gramStart"/>
      <w:r w:rsidRPr="008A27AC">
        <w:rPr>
          <w:rFonts w:cstheme="minorHAnsi"/>
          <w:sz w:val="20"/>
          <w:szCs w:val="20"/>
        </w:rPr>
        <w:t>x,y</w:t>
      </w:r>
      <w:proofErr w:type="gramEnd"/>
      <w:r w:rsidRPr="008A27AC">
        <w:rPr>
          <w:rFonts w:cstheme="minorHAnsi"/>
          <w:sz w:val="20"/>
          <w:szCs w:val="20"/>
        </w:rPr>
        <w:t xml:space="preserve">) </w:t>
      </w:r>
      <w:r w:rsidRPr="008A27AC">
        <w:rPr>
          <w:rFonts w:ascii="Cambria Math" w:hAnsi="Cambria Math" w:cs="Cambria Math"/>
          <w:sz w:val="20"/>
          <w:szCs w:val="20"/>
        </w:rPr>
        <w:t>⊃</w:t>
      </w:r>
      <w:r w:rsidRPr="008A27AC">
        <w:rPr>
          <w:rFonts w:cstheme="minorHAnsi"/>
          <w:sz w:val="20"/>
          <w:szCs w:val="20"/>
        </w:rPr>
        <w:t xml:space="preserve"> E52(x) </w:t>
      </w:r>
    </w:p>
    <w:p w:rsidR="00237CDC" w:rsidRPr="008A27AC" w:rsidRDefault="00237CDC" w:rsidP="00237CDC">
      <w:pPr>
        <w:spacing w:after="0"/>
        <w:rPr>
          <w:rFonts w:cstheme="minorHAnsi"/>
          <w:sz w:val="20"/>
          <w:szCs w:val="20"/>
        </w:rPr>
      </w:pPr>
      <w:r w:rsidRPr="008A27AC">
        <w:rPr>
          <w:rFonts w:cstheme="minorHAnsi"/>
          <w:sz w:val="20"/>
          <w:szCs w:val="20"/>
        </w:rPr>
        <w:tab/>
      </w:r>
      <w:r w:rsidRPr="008A27AC">
        <w:rPr>
          <w:rFonts w:cstheme="minorHAnsi"/>
          <w:sz w:val="20"/>
          <w:szCs w:val="20"/>
        </w:rPr>
        <w:tab/>
        <w:t>P80(</w:t>
      </w:r>
      <w:proofErr w:type="gramStart"/>
      <w:r w:rsidRPr="008A27AC">
        <w:rPr>
          <w:rFonts w:cstheme="minorHAnsi"/>
          <w:sz w:val="20"/>
          <w:szCs w:val="20"/>
        </w:rPr>
        <w:t>x,y</w:t>
      </w:r>
      <w:proofErr w:type="gramEnd"/>
      <w:r w:rsidRPr="008A27AC">
        <w:rPr>
          <w:rFonts w:cstheme="minorHAnsi"/>
          <w:sz w:val="20"/>
          <w:szCs w:val="20"/>
        </w:rPr>
        <w:t xml:space="preserve">) </w:t>
      </w:r>
      <w:r w:rsidRPr="008A27AC">
        <w:rPr>
          <w:rFonts w:ascii="Cambria Math" w:hAnsi="Cambria Math" w:cs="Cambria Math"/>
          <w:sz w:val="20"/>
          <w:szCs w:val="20"/>
        </w:rPr>
        <w:t>⊃</w:t>
      </w:r>
      <w:r w:rsidRPr="008A27AC">
        <w:rPr>
          <w:rFonts w:cstheme="minorHAnsi"/>
          <w:sz w:val="20"/>
          <w:szCs w:val="20"/>
        </w:rPr>
        <w:t xml:space="preserve"> E62(y) </w:t>
      </w:r>
    </w:p>
    <w:p w:rsidR="00237CDC" w:rsidRPr="008A27AC" w:rsidRDefault="00237CDC" w:rsidP="00237CDC">
      <w:pPr>
        <w:rPr>
          <w:rFonts w:cstheme="minorHAnsi"/>
          <w:sz w:val="20"/>
          <w:szCs w:val="20"/>
        </w:rPr>
      </w:pPr>
      <w:r w:rsidRPr="008A27AC">
        <w:rPr>
          <w:rFonts w:cstheme="minorHAnsi"/>
          <w:sz w:val="20"/>
          <w:szCs w:val="20"/>
        </w:rPr>
        <w:tab/>
      </w:r>
      <w:r w:rsidRPr="008A27AC">
        <w:rPr>
          <w:rFonts w:cstheme="minorHAnsi"/>
          <w:sz w:val="20"/>
          <w:szCs w:val="20"/>
        </w:rPr>
        <w:tab/>
        <w:t>P80(</w:t>
      </w:r>
      <w:proofErr w:type="gramStart"/>
      <w:r w:rsidRPr="008A27AC">
        <w:rPr>
          <w:rFonts w:cstheme="minorHAnsi"/>
          <w:sz w:val="20"/>
          <w:szCs w:val="20"/>
        </w:rPr>
        <w:t>x,y</w:t>
      </w:r>
      <w:proofErr w:type="gramEnd"/>
      <w:r w:rsidRPr="008A27AC">
        <w:rPr>
          <w:rFonts w:cstheme="minorHAnsi"/>
          <w:sz w:val="20"/>
          <w:szCs w:val="20"/>
        </w:rPr>
        <w:t xml:space="preserve">) </w:t>
      </w:r>
      <w:r w:rsidRPr="008A27AC">
        <w:rPr>
          <w:rFonts w:ascii="Cambria Math" w:hAnsi="Cambria Math" w:cs="Cambria Math"/>
          <w:sz w:val="20"/>
          <w:szCs w:val="20"/>
        </w:rPr>
        <w:t>⊃</w:t>
      </w:r>
      <w:r w:rsidRPr="008A27AC">
        <w:rPr>
          <w:rFonts w:cstheme="minorHAnsi"/>
          <w:sz w:val="20"/>
          <w:szCs w:val="20"/>
        </w:rPr>
        <w:t xml:space="preserve"> P3(x,y)</w:t>
      </w:r>
    </w:p>
    <w:p w:rsidR="00237CDC" w:rsidRDefault="00237CDC" w:rsidP="00237CDC">
      <w:pPr>
        <w:pStyle w:val="Heading5"/>
      </w:pPr>
      <w:r>
        <w:t>OLD</w:t>
      </w:r>
    </w:p>
    <w:p w:rsidR="00237CDC" w:rsidRPr="00472DA2" w:rsidRDefault="00237CDC" w:rsidP="00237CDC">
      <w:pPr>
        <w:spacing w:after="0"/>
        <w:rPr>
          <w:b/>
          <w:bCs/>
          <w:sz w:val="20"/>
          <w:szCs w:val="20"/>
        </w:rPr>
      </w:pPr>
      <w:r w:rsidRPr="00472DA2">
        <w:rPr>
          <w:b/>
          <w:bCs/>
          <w:sz w:val="20"/>
          <w:szCs w:val="20"/>
        </w:rPr>
        <w:t>P80 end is qualified by</w:t>
      </w:r>
    </w:p>
    <w:p w:rsidR="00237CDC" w:rsidRPr="00472DA2" w:rsidRDefault="00237CDC" w:rsidP="00237CDC">
      <w:pPr>
        <w:spacing w:after="0"/>
        <w:rPr>
          <w:sz w:val="20"/>
          <w:szCs w:val="20"/>
        </w:rPr>
      </w:pPr>
      <w:r w:rsidRPr="00472DA2">
        <w:rPr>
          <w:sz w:val="20"/>
          <w:szCs w:val="20"/>
        </w:rPr>
        <w:t>Domain:</w:t>
      </w:r>
      <w:r w:rsidRPr="00472DA2">
        <w:rPr>
          <w:sz w:val="20"/>
          <w:szCs w:val="20"/>
        </w:rPr>
        <w:tab/>
      </w:r>
      <w:r w:rsidRPr="00472DA2">
        <w:rPr>
          <w:sz w:val="20"/>
          <w:szCs w:val="20"/>
        </w:rPr>
        <w:tab/>
        <w:t>E52 Time-Span</w:t>
      </w:r>
    </w:p>
    <w:p w:rsidR="00237CDC" w:rsidRPr="00472DA2" w:rsidRDefault="00237CDC" w:rsidP="00237CDC">
      <w:pPr>
        <w:spacing w:after="0"/>
        <w:rPr>
          <w:sz w:val="20"/>
          <w:szCs w:val="20"/>
        </w:rPr>
      </w:pPr>
      <w:r w:rsidRPr="00472DA2">
        <w:rPr>
          <w:sz w:val="20"/>
          <w:szCs w:val="20"/>
        </w:rPr>
        <w:t>Range:</w:t>
      </w:r>
      <w:r w:rsidRPr="00472DA2">
        <w:rPr>
          <w:sz w:val="20"/>
          <w:szCs w:val="20"/>
        </w:rPr>
        <w:tab/>
      </w:r>
      <w:r w:rsidRPr="00472DA2">
        <w:rPr>
          <w:sz w:val="20"/>
          <w:szCs w:val="20"/>
        </w:rPr>
        <w:tab/>
        <w:t>E62 String</w:t>
      </w:r>
    </w:p>
    <w:p w:rsidR="00237CDC" w:rsidRPr="00472DA2" w:rsidRDefault="00237CDC" w:rsidP="00237CDC">
      <w:pPr>
        <w:spacing w:after="0"/>
        <w:rPr>
          <w:sz w:val="20"/>
          <w:szCs w:val="20"/>
        </w:rPr>
      </w:pPr>
      <w:r w:rsidRPr="00472DA2">
        <w:rPr>
          <w:sz w:val="20"/>
          <w:szCs w:val="20"/>
        </w:rPr>
        <w:t xml:space="preserve">Subproperty of: </w:t>
      </w:r>
      <w:r w:rsidRPr="00472DA2">
        <w:rPr>
          <w:sz w:val="20"/>
          <w:szCs w:val="20"/>
        </w:rPr>
        <w:tab/>
        <w:t>E1 CRM Entity. P3 has note: E62 String</w:t>
      </w:r>
    </w:p>
    <w:p w:rsidR="00237CDC" w:rsidRPr="00472DA2" w:rsidRDefault="00237CDC" w:rsidP="00237CDC">
      <w:pPr>
        <w:rPr>
          <w:sz w:val="20"/>
          <w:szCs w:val="20"/>
        </w:rPr>
      </w:pPr>
      <w:r w:rsidRPr="00472DA2">
        <w:rPr>
          <w:sz w:val="20"/>
          <w:szCs w:val="20"/>
        </w:rPr>
        <w:t>Quantification:</w:t>
      </w:r>
      <w:r w:rsidRPr="00472DA2">
        <w:rPr>
          <w:sz w:val="20"/>
          <w:szCs w:val="20"/>
        </w:rPr>
        <w:tab/>
        <w:t>many to one (0,1:</w:t>
      </w:r>
      <w:proofErr w:type="gramStart"/>
      <w:r w:rsidRPr="00472DA2">
        <w:rPr>
          <w:sz w:val="20"/>
          <w:szCs w:val="20"/>
        </w:rPr>
        <w:t>0,n</w:t>
      </w:r>
      <w:proofErr w:type="gramEnd"/>
      <w:r w:rsidRPr="00472DA2">
        <w:rPr>
          <w:sz w:val="20"/>
          <w:szCs w:val="20"/>
        </w:rPr>
        <w:t>)</w:t>
      </w:r>
    </w:p>
    <w:p w:rsidR="00237CDC" w:rsidRPr="00472DA2" w:rsidRDefault="00237CDC" w:rsidP="00237CDC">
      <w:pPr>
        <w:ind w:left="1440" w:hanging="1440"/>
        <w:rPr>
          <w:sz w:val="20"/>
          <w:szCs w:val="20"/>
        </w:rPr>
      </w:pPr>
      <w:r w:rsidRPr="00472DA2">
        <w:rPr>
          <w:sz w:val="20"/>
          <w:szCs w:val="20"/>
        </w:rPr>
        <w:t>Scope note:</w:t>
      </w:r>
      <w:r w:rsidRPr="00472DA2">
        <w:rPr>
          <w:sz w:val="20"/>
          <w:szCs w:val="20"/>
        </w:rPr>
        <w:tab/>
        <w:t xml:space="preserve">This property associates an instance of E52 Time-Span with a note detailing the scholarly or scientific opinions and justifications about the end of this time-span concerning certainty, precision, sources etc. This property may also be used to describe arguments constraining possible dates and to distinguish reasons for alternative dates.  </w:t>
      </w:r>
    </w:p>
    <w:p w:rsidR="00237CDC" w:rsidRPr="00472DA2" w:rsidRDefault="00237CDC" w:rsidP="00237CDC">
      <w:pPr>
        <w:spacing w:after="0"/>
        <w:rPr>
          <w:sz w:val="20"/>
          <w:szCs w:val="20"/>
        </w:rPr>
      </w:pPr>
      <w:r w:rsidRPr="00472DA2">
        <w:rPr>
          <w:sz w:val="20"/>
          <w:szCs w:val="20"/>
        </w:rPr>
        <w:t>Examples:</w:t>
      </w:r>
      <w:r w:rsidRPr="00472DA2">
        <w:rPr>
          <w:sz w:val="20"/>
          <w:szCs w:val="20"/>
        </w:rPr>
        <w:tab/>
      </w:r>
    </w:p>
    <w:p w:rsidR="00237CDC" w:rsidRPr="00472DA2" w:rsidRDefault="00237CDC" w:rsidP="00237CDC">
      <w:pPr>
        <w:pStyle w:val="ListParagraph"/>
        <w:numPr>
          <w:ilvl w:val="2"/>
          <w:numId w:val="1"/>
        </w:numPr>
        <w:ind w:left="1800"/>
        <w:rPr>
          <w:sz w:val="20"/>
          <w:szCs w:val="20"/>
        </w:rPr>
      </w:pPr>
      <w:r w:rsidRPr="00472DA2">
        <w:rPr>
          <w:sz w:val="20"/>
          <w:szCs w:val="20"/>
        </w:rPr>
        <w:t>the time-span of the Holocene (E52) end is qualified by “still ongoing”  (E62)</w:t>
      </w:r>
    </w:p>
    <w:p w:rsidR="00237CDC" w:rsidRPr="00472DA2" w:rsidRDefault="00237CDC" w:rsidP="00237CDC">
      <w:pPr>
        <w:spacing w:after="0"/>
        <w:rPr>
          <w:sz w:val="20"/>
          <w:szCs w:val="20"/>
        </w:rPr>
      </w:pPr>
      <w:r w:rsidRPr="00472DA2">
        <w:rPr>
          <w:sz w:val="20"/>
          <w:szCs w:val="20"/>
        </w:rPr>
        <w:t>In First Order Logic:</w:t>
      </w:r>
    </w:p>
    <w:p w:rsidR="00237CDC" w:rsidRPr="00472DA2" w:rsidRDefault="00237CDC" w:rsidP="00237CDC">
      <w:pPr>
        <w:spacing w:after="0"/>
        <w:rPr>
          <w:sz w:val="20"/>
          <w:szCs w:val="20"/>
        </w:rPr>
      </w:pPr>
      <w:r w:rsidRPr="00472DA2">
        <w:rPr>
          <w:sz w:val="20"/>
          <w:szCs w:val="20"/>
        </w:rPr>
        <w:tab/>
      </w:r>
      <w:r w:rsidRPr="00472DA2">
        <w:rPr>
          <w:sz w:val="20"/>
          <w:szCs w:val="20"/>
        </w:rPr>
        <w:tab/>
        <w:t>P80(</w:t>
      </w:r>
      <w:proofErr w:type="gramStart"/>
      <w:r w:rsidRPr="00472DA2">
        <w:rPr>
          <w:sz w:val="20"/>
          <w:szCs w:val="20"/>
        </w:rPr>
        <w:t>x,y</w:t>
      </w:r>
      <w:proofErr w:type="gramEnd"/>
      <w:r w:rsidRPr="00472DA2">
        <w:rPr>
          <w:sz w:val="20"/>
          <w:szCs w:val="20"/>
        </w:rPr>
        <w:t xml:space="preserve">) </w:t>
      </w:r>
      <w:r w:rsidRPr="00472DA2">
        <w:rPr>
          <w:rFonts w:ascii="Cambria Math" w:hAnsi="Cambria Math" w:cs="Cambria Math"/>
          <w:sz w:val="20"/>
          <w:szCs w:val="20"/>
        </w:rPr>
        <w:t>⊃</w:t>
      </w:r>
      <w:r w:rsidRPr="00472DA2">
        <w:rPr>
          <w:sz w:val="20"/>
          <w:szCs w:val="20"/>
        </w:rPr>
        <w:t xml:space="preserve"> E52(x) </w:t>
      </w:r>
    </w:p>
    <w:p w:rsidR="00237CDC" w:rsidRPr="00472DA2" w:rsidRDefault="00237CDC" w:rsidP="00237CDC">
      <w:pPr>
        <w:spacing w:after="0"/>
        <w:rPr>
          <w:sz w:val="20"/>
          <w:szCs w:val="20"/>
        </w:rPr>
      </w:pPr>
      <w:r w:rsidRPr="00472DA2">
        <w:rPr>
          <w:sz w:val="20"/>
          <w:szCs w:val="20"/>
        </w:rPr>
        <w:tab/>
      </w:r>
      <w:r w:rsidRPr="00472DA2">
        <w:rPr>
          <w:sz w:val="20"/>
          <w:szCs w:val="20"/>
        </w:rPr>
        <w:tab/>
        <w:t>P80(</w:t>
      </w:r>
      <w:proofErr w:type="gramStart"/>
      <w:r w:rsidRPr="00472DA2">
        <w:rPr>
          <w:sz w:val="20"/>
          <w:szCs w:val="20"/>
        </w:rPr>
        <w:t>x,y</w:t>
      </w:r>
      <w:proofErr w:type="gramEnd"/>
      <w:r w:rsidRPr="00472DA2">
        <w:rPr>
          <w:sz w:val="20"/>
          <w:szCs w:val="20"/>
        </w:rPr>
        <w:t xml:space="preserve">) </w:t>
      </w:r>
      <w:r w:rsidRPr="00472DA2">
        <w:rPr>
          <w:rFonts w:ascii="Cambria Math" w:hAnsi="Cambria Math" w:cs="Cambria Math"/>
          <w:sz w:val="20"/>
          <w:szCs w:val="20"/>
        </w:rPr>
        <w:t>⊃</w:t>
      </w:r>
      <w:r w:rsidRPr="00472DA2">
        <w:rPr>
          <w:sz w:val="20"/>
          <w:szCs w:val="20"/>
        </w:rPr>
        <w:t xml:space="preserve"> E62(y) </w:t>
      </w:r>
    </w:p>
    <w:p w:rsidR="00237CDC" w:rsidRPr="003873E4" w:rsidRDefault="00237CDC" w:rsidP="00237CDC">
      <w:pPr>
        <w:rPr>
          <w:sz w:val="20"/>
          <w:szCs w:val="20"/>
        </w:rPr>
      </w:pPr>
      <w:r w:rsidRPr="00472DA2">
        <w:rPr>
          <w:sz w:val="20"/>
          <w:szCs w:val="20"/>
        </w:rPr>
        <w:tab/>
      </w:r>
      <w:r w:rsidRPr="00472DA2">
        <w:rPr>
          <w:sz w:val="20"/>
          <w:szCs w:val="20"/>
        </w:rPr>
        <w:tab/>
        <w:t>P80(</w:t>
      </w:r>
      <w:proofErr w:type="gramStart"/>
      <w:r w:rsidRPr="00472DA2">
        <w:rPr>
          <w:sz w:val="20"/>
          <w:szCs w:val="20"/>
        </w:rPr>
        <w:t>x,y</w:t>
      </w:r>
      <w:proofErr w:type="gramEnd"/>
      <w:r w:rsidRPr="00472DA2">
        <w:rPr>
          <w:sz w:val="20"/>
          <w:szCs w:val="20"/>
        </w:rPr>
        <w:t xml:space="preserve">) </w:t>
      </w:r>
      <w:r w:rsidRPr="00472DA2">
        <w:rPr>
          <w:rFonts w:ascii="Cambria Math" w:hAnsi="Cambria Math" w:cs="Cambria Math"/>
          <w:sz w:val="20"/>
          <w:szCs w:val="20"/>
        </w:rPr>
        <w:t>⊃</w:t>
      </w:r>
      <w:r w:rsidRPr="00472DA2">
        <w:rPr>
          <w:sz w:val="20"/>
          <w:szCs w:val="20"/>
        </w:rPr>
        <w:t xml:space="preserve"> P3(x,y)</w:t>
      </w:r>
    </w:p>
    <w:p w:rsidR="006C16C1" w:rsidRDefault="00237CDC">
      <w:bookmarkStart w:id="2" w:name="_GoBack"/>
      <w:bookmarkEnd w:id="2"/>
    </w:p>
    <w:sectPr w:rsidR="006C16C1">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346246"/>
      <w:docPartObj>
        <w:docPartGallery w:val="Page Numbers (Bottom of Page)"/>
        <w:docPartUnique/>
      </w:docPartObj>
    </w:sdtPr>
    <w:sdtEndPr>
      <w:rPr>
        <w:rFonts w:asciiTheme="minorHAnsi" w:hAnsiTheme="minorHAnsi" w:cstheme="minorHAnsi"/>
        <w:noProof/>
        <w:sz w:val="18"/>
        <w:szCs w:val="22"/>
      </w:rPr>
    </w:sdtEndPr>
    <w:sdtContent>
      <w:p w:rsidR="00A51E54" w:rsidRPr="0005567C" w:rsidRDefault="00237CDC">
        <w:pPr>
          <w:pStyle w:val="Footer"/>
          <w:jc w:val="center"/>
          <w:rPr>
            <w:rFonts w:asciiTheme="minorHAnsi" w:hAnsiTheme="minorHAnsi" w:cstheme="minorHAnsi"/>
            <w:sz w:val="18"/>
            <w:szCs w:val="22"/>
          </w:rPr>
        </w:pPr>
        <w:r w:rsidRPr="0005567C">
          <w:rPr>
            <w:rFonts w:asciiTheme="minorHAnsi" w:hAnsiTheme="minorHAnsi" w:cstheme="minorHAnsi"/>
            <w:sz w:val="18"/>
            <w:szCs w:val="22"/>
          </w:rPr>
          <w:fldChar w:fldCharType="begin"/>
        </w:r>
        <w:r w:rsidRPr="0005567C">
          <w:rPr>
            <w:rFonts w:asciiTheme="minorHAnsi" w:hAnsiTheme="minorHAnsi" w:cstheme="minorHAnsi"/>
            <w:sz w:val="18"/>
            <w:szCs w:val="22"/>
          </w:rPr>
          <w:instrText xml:space="preserve"> PAGE   \* MERGEFORMAT </w:instrText>
        </w:r>
        <w:r w:rsidRPr="0005567C">
          <w:rPr>
            <w:rFonts w:asciiTheme="minorHAnsi" w:hAnsiTheme="minorHAnsi" w:cstheme="minorHAnsi"/>
            <w:sz w:val="18"/>
            <w:szCs w:val="22"/>
          </w:rPr>
          <w:fldChar w:fldCharType="separate"/>
        </w:r>
        <w:r>
          <w:rPr>
            <w:rFonts w:asciiTheme="minorHAnsi" w:hAnsiTheme="minorHAnsi" w:cstheme="minorHAnsi"/>
            <w:noProof/>
            <w:sz w:val="18"/>
            <w:szCs w:val="22"/>
          </w:rPr>
          <w:t>2</w:t>
        </w:r>
        <w:r w:rsidRPr="0005567C">
          <w:rPr>
            <w:rFonts w:asciiTheme="minorHAnsi" w:hAnsiTheme="minorHAnsi" w:cstheme="minorHAnsi"/>
            <w:noProof/>
            <w:sz w:val="18"/>
            <w:szCs w:val="22"/>
          </w:rPr>
          <w:fldChar w:fldCharType="end"/>
        </w:r>
      </w:p>
    </w:sdtContent>
  </w:sdt>
  <w:p w:rsidR="00A51E54" w:rsidRDefault="00237CDC">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96B0B"/>
    <w:multiLevelType w:val="hybridMultilevel"/>
    <w:tmpl w:val="0D2EF3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20"/>
    <w:rsid w:val="00237CDC"/>
    <w:rsid w:val="002C79A6"/>
    <w:rsid w:val="0090101A"/>
    <w:rsid w:val="00B6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7B7ED-E147-48BC-BE0E-E7FD31E6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CDC"/>
  </w:style>
  <w:style w:type="paragraph" w:styleId="Heading3">
    <w:name w:val="heading 3"/>
    <w:basedOn w:val="Normal"/>
    <w:next w:val="Normal"/>
    <w:link w:val="Heading3Char1"/>
    <w:unhideWhenUsed/>
    <w:qFormat/>
    <w:rsid w:val="00237C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1"/>
    <w:unhideWhenUsed/>
    <w:qFormat/>
    <w:rsid w:val="00237C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1"/>
    <w:unhideWhenUsed/>
    <w:qFormat/>
    <w:rsid w:val="00237CD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237C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uiPriority w:val="9"/>
    <w:semiHidden/>
    <w:rsid w:val="00237CD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uiPriority w:val="9"/>
    <w:semiHidden/>
    <w:rsid w:val="00237CDC"/>
    <w:rPr>
      <w:rFonts w:asciiTheme="majorHAnsi" w:eastAsiaTheme="majorEastAsia" w:hAnsiTheme="majorHAnsi" w:cstheme="majorBidi"/>
      <w:color w:val="2E74B5" w:themeColor="accent1" w:themeShade="BF"/>
    </w:rPr>
  </w:style>
  <w:style w:type="character" w:customStyle="1" w:styleId="Heading3Char1">
    <w:name w:val="Heading 3 Char1"/>
    <w:basedOn w:val="DefaultParagraphFont"/>
    <w:link w:val="Heading3"/>
    <w:rsid w:val="00237CDC"/>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link w:val="Heading4"/>
    <w:rsid w:val="00237CDC"/>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link w:val="Heading5"/>
    <w:rsid w:val="00237CD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237CDC"/>
    <w:pPr>
      <w:spacing w:after="0" w:line="240" w:lineRule="auto"/>
      <w:ind w:left="720"/>
      <w:contextualSpacing/>
    </w:pPr>
    <w:rPr>
      <w:rFonts w:eastAsiaTheme="minorEastAsia"/>
      <w:sz w:val="24"/>
      <w:szCs w:val="24"/>
      <w:lang w:val="it-IT" w:eastAsia="it-IT"/>
    </w:rPr>
  </w:style>
  <w:style w:type="paragraph" w:styleId="Footer">
    <w:name w:val="footer"/>
    <w:basedOn w:val="Normal"/>
    <w:next w:val="BodyTextIndent2"/>
    <w:link w:val="FooterChar1"/>
    <w:uiPriority w:val="99"/>
    <w:rsid w:val="00237CDC"/>
    <w:pPr>
      <w:widowControl w:val="0"/>
      <w:suppressLineNumbers/>
      <w:tabs>
        <w:tab w:val="center" w:pos="4536"/>
        <w:tab w:val="right" w:pos="9072"/>
      </w:tabs>
      <w:suppressAutoHyphens/>
      <w:spacing w:after="0" w:line="240" w:lineRule="auto"/>
      <w:jc w:val="both"/>
    </w:pPr>
    <w:rPr>
      <w:rFonts w:ascii="Times New Roman" w:eastAsia="SimSun" w:hAnsi="Times New Roman" w:cs="Times New Roman"/>
      <w:sz w:val="20"/>
      <w:szCs w:val="24"/>
      <w:lang w:val="en-GB" w:eastAsia="zh-CN"/>
    </w:rPr>
  </w:style>
  <w:style w:type="character" w:customStyle="1" w:styleId="FooterChar">
    <w:name w:val="Footer Char"/>
    <w:basedOn w:val="DefaultParagraphFont"/>
    <w:uiPriority w:val="99"/>
    <w:semiHidden/>
    <w:rsid w:val="00237CDC"/>
  </w:style>
  <w:style w:type="character" w:customStyle="1" w:styleId="FooterChar1">
    <w:name w:val="Footer Char1"/>
    <w:basedOn w:val="DefaultParagraphFont"/>
    <w:link w:val="Footer"/>
    <w:uiPriority w:val="99"/>
    <w:rsid w:val="00237CDC"/>
    <w:rPr>
      <w:rFonts w:ascii="Times New Roman" w:eastAsia="SimSun" w:hAnsi="Times New Roman" w:cs="Times New Roman"/>
      <w:sz w:val="20"/>
      <w:szCs w:val="24"/>
      <w:lang w:val="en-GB" w:eastAsia="zh-CN"/>
    </w:rPr>
  </w:style>
  <w:style w:type="paragraph" w:styleId="BodyTextIndent2">
    <w:name w:val="Body Text Indent 2"/>
    <w:basedOn w:val="Normal"/>
    <w:link w:val="BodyTextIndent2Char"/>
    <w:uiPriority w:val="99"/>
    <w:semiHidden/>
    <w:unhideWhenUsed/>
    <w:rsid w:val="00237CDC"/>
    <w:pPr>
      <w:spacing w:after="120" w:line="480" w:lineRule="auto"/>
      <w:ind w:left="360"/>
    </w:pPr>
  </w:style>
  <w:style w:type="character" w:customStyle="1" w:styleId="BodyTextIndent2Char">
    <w:name w:val="Body Text Indent 2 Char"/>
    <w:basedOn w:val="DefaultParagraphFont"/>
    <w:link w:val="BodyTextIndent2"/>
    <w:uiPriority w:val="99"/>
    <w:semiHidden/>
    <w:rsid w:val="0023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2020-04-28T23:42:00Z</dcterms:created>
  <dcterms:modified xsi:type="dcterms:W3CDTF">2020-04-28T23:42:00Z</dcterms:modified>
</cp:coreProperties>
</file>