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1159" w14:textId="77777777" w:rsidR="00846E2B" w:rsidRDefault="00846E2B" w:rsidP="00846E2B">
      <w:pPr>
        <w:pStyle w:val="Heading3"/>
      </w:pPr>
      <w:bookmarkStart w:id="0" w:name="_GoBack"/>
      <w:bookmarkEnd w:id="0"/>
      <w:r>
        <w:t>ISSUE 433: Scope note of E77 Persistent Item</w:t>
      </w:r>
    </w:p>
    <w:p w14:paraId="1E62906D" w14:textId="77777777" w:rsidR="00846E2B" w:rsidRDefault="00846E2B" w:rsidP="00846E2B">
      <w:r w:rsidRPr="00013137">
        <w:rPr>
          <w:b/>
          <w:bCs/>
        </w:rPr>
        <w:t>DECISION</w:t>
      </w:r>
      <w:r>
        <w:t xml:space="preserve">: The sig reviewed the amended scope note for E77 Persistent Item (HW by SS), did some more editing and accepted it. The scope note changed </w:t>
      </w:r>
    </w:p>
    <w:p w14:paraId="464B5A46" w14:textId="77777777" w:rsidR="00846E2B" w:rsidRDefault="00846E2B" w:rsidP="00846E2B">
      <w:pPr>
        <w:pStyle w:val="Heading4"/>
      </w:pPr>
      <w:r>
        <w:t xml:space="preserve">FROM (old) </w:t>
      </w:r>
    </w:p>
    <w:p w14:paraId="53D2FD81" w14:textId="77777777" w:rsidR="00846E2B" w:rsidRPr="00013137" w:rsidRDefault="00846E2B" w:rsidP="00846E2B">
      <w:pPr>
        <w:spacing w:after="0"/>
        <w:rPr>
          <w:b/>
          <w:sz w:val="20"/>
          <w:szCs w:val="20"/>
        </w:rPr>
      </w:pPr>
      <w:r w:rsidRPr="00013137">
        <w:rPr>
          <w:b/>
          <w:sz w:val="20"/>
          <w:szCs w:val="20"/>
        </w:rPr>
        <w:t xml:space="preserve">E77 Persistent Item </w:t>
      </w:r>
    </w:p>
    <w:p w14:paraId="6054220A" w14:textId="77777777" w:rsidR="00846E2B" w:rsidRPr="00013137" w:rsidRDefault="00846E2B" w:rsidP="00846E2B">
      <w:pPr>
        <w:spacing w:after="0"/>
        <w:rPr>
          <w:sz w:val="20"/>
          <w:szCs w:val="20"/>
        </w:rPr>
      </w:pPr>
      <w:r w:rsidRPr="00013137">
        <w:rPr>
          <w:sz w:val="20"/>
          <w:szCs w:val="20"/>
        </w:rPr>
        <w:t xml:space="preserve">Subclass of:         </w:t>
      </w:r>
      <w:hyperlink r:id="rId5" w:anchor="_E1_CRM_Entity" w:history="1">
        <w:r w:rsidRPr="00013137">
          <w:t>E1</w:t>
        </w:r>
      </w:hyperlink>
      <w:r w:rsidRPr="00013137">
        <w:rPr>
          <w:sz w:val="20"/>
          <w:szCs w:val="20"/>
        </w:rPr>
        <w:t xml:space="preserve"> CRM Entity</w:t>
      </w:r>
    </w:p>
    <w:p w14:paraId="16AAD438" w14:textId="77777777" w:rsidR="00846E2B" w:rsidRDefault="00846E2B" w:rsidP="00846E2B">
      <w:pPr>
        <w:spacing w:after="0"/>
        <w:rPr>
          <w:sz w:val="20"/>
          <w:szCs w:val="20"/>
        </w:rPr>
      </w:pPr>
      <w:r w:rsidRPr="00013137">
        <w:rPr>
          <w:sz w:val="20"/>
          <w:szCs w:val="20"/>
        </w:rPr>
        <w:t xml:space="preserve">Superclass of:      </w:t>
      </w:r>
      <w:hyperlink r:id="rId6" w:anchor="_E39_Actor" w:history="1">
        <w:r w:rsidRPr="00013137">
          <w:t>E39</w:t>
        </w:r>
      </w:hyperlink>
      <w:r w:rsidRPr="00013137">
        <w:rPr>
          <w:sz w:val="20"/>
          <w:szCs w:val="20"/>
        </w:rPr>
        <w:t xml:space="preserve"> Actor</w:t>
      </w:r>
    </w:p>
    <w:p w14:paraId="329C221D" w14:textId="77777777" w:rsidR="00846E2B" w:rsidRPr="00013137" w:rsidRDefault="00F35F09" w:rsidP="00846E2B">
      <w:pPr>
        <w:ind w:left="720" w:firstLine="720"/>
        <w:rPr>
          <w:sz w:val="20"/>
          <w:szCs w:val="20"/>
        </w:rPr>
      </w:pPr>
      <w:hyperlink r:id="rId7" w:anchor="_E70_Thing" w:history="1">
        <w:r w:rsidR="00846E2B" w:rsidRPr="00013137">
          <w:t>E70</w:t>
        </w:r>
      </w:hyperlink>
      <w:r w:rsidR="00846E2B" w:rsidRPr="00013137">
        <w:rPr>
          <w:sz w:val="20"/>
          <w:szCs w:val="20"/>
        </w:rPr>
        <w:t xml:space="preserve"> Thing</w:t>
      </w:r>
    </w:p>
    <w:p w14:paraId="2AD58E19" w14:textId="77777777" w:rsidR="00846E2B" w:rsidRPr="00013137" w:rsidRDefault="00846E2B" w:rsidP="00846E2B">
      <w:pPr>
        <w:ind w:left="1440" w:hanging="1440"/>
        <w:rPr>
          <w:sz w:val="20"/>
          <w:szCs w:val="20"/>
        </w:rPr>
      </w:pPr>
      <w:r w:rsidRPr="00013137">
        <w:rPr>
          <w:sz w:val="20"/>
          <w:szCs w:val="20"/>
        </w:rPr>
        <w:t>Scope note:         This class comprises items that have persistent characteristics of structural nature substantially related to their identity and their integrity, sometimes known as “endurants” in philosophy. Persistent Items may be physical entities, such as people, animals or things, conceptual entities such as ideas, concepts, products of the imagination or even names.</w:t>
      </w:r>
    </w:p>
    <w:p w14:paraId="5DB92D92" w14:textId="77777777" w:rsidR="00846E2B" w:rsidRPr="00013137" w:rsidRDefault="00846E2B" w:rsidP="00846E2B">
      <w:pPr>
        <w:ind w:left="1440"/>
        <w:rPr>
          <w:sz w:val="20"/>
          <w:szCs w:val="20"/>
        </w:rPr>
      </w:pPr>
      <w:r w:rsidRPr="00013137">
        <w:rPr>
          <w:sz w:val="20"/>
          <w:szCs w:val="20"/>
        </w:rPr>
        <w:t>Instances of E77 Persistent Item may be present or be part of interactions in different periods or events. They can repeatedly be recognized at disparate occasions during their existence by characteristics of structural nature. The respective characteristics need not be exactly the same during all the existence of an instance of E77 Persistent Item. Often, they undergo gradual change, still bearing some similarities with that of previous times, or disappear completely and new emerge. For instance, a person, from the time of being born on, will gradually change all its features and acquire new ones, such as a scar. Even the DNA in different body cells will develop defects and mutations. Nevertheless, relevant characteristics use to be sufficiently similar to recognize the instance for some substantial period of time.</w:t>
      </w:r>
    </w:p>
    <w:p w14:paraId="241627BC" w14:textId="77777777" w:rsidR="00846E2B" w:rsidRPr="00013137" w:rsidRDefault="00846E2B" w:rsidP="00846E2B">
      <w:pPr>
        <w:ind w:left="1440"/>
        <w:rPr>
          <w:sz w:val="20"/>
          <w:szCs w:val="20"/>
        </w:rPr>
      </w:pPr>
      <w:r w:rsidRPr="00013137">
        <w:rPr>
          <w:sz w:val="20"/>
          <w:szCs w:val="20"/>
        </w:rPr>
        <w:t>The more specific criteria that determine the identity of instances of subclasses of E77 Persistent Item may vary considerably and are described of referred to in the respective scope notes. The decision about which exact criteria to use depends on whether the observable behaviour of the respective part of reality such confined conforms to the reasoning the user is interested in. For example, a building can be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such as being bodily separated from other persons. Similarly, inanimate objects may be subject to exchange of parts and matter. On the opposite, the identity of a (version of a) text of a scientific publication is given by the exact arrangement of its relevant symbols.</w:t>
      </w:r>
    </w:p>
    <w:p w14:paraId="00FF2E25" w14:textId="77777777" w:rsidR="00846E2B" w:rsidRPr="00013137" w:rsidRDefault="00846E2B" w:rsidP="00846E2B">
      <w:pPr>
        <w:ind w:left="1440"/>
        <w:rPr>
          <w:sz w:val="20"/>
          <w:szCs w:val="20"/>
        </w:rPr>
      </w:pPr>
      <w:r w:rsidRPr="00013137">
        <w:rPr>
          <w:sz w:val="20"/>
          <w:szCs w:val="20"/>
        </w:rPr>
        <w:t>The main classes of objects that fall outside the scope the E77 Persistent Item class are temporal objects such as periods, events and acts, and descriptive properties.</w:t>
      </w:r>
    </w:p>
    <w:p w14:paraId="5899E28F" w14:textId="77777777" w:rsidR="00846E2B" w:rsidRPr="00013137" w:rsidRDefault="00846E2B" w:rsidP="00846E2B">
      <w:pPr>
        <w:ind w:left="1440"/>
        <w:rPr>
          <w:sz w:val="20"/>
          <w:szCs w:val="20"/>
        </w:rPr>
      </w:pPr>
      <w:r w:rsidRPr="00013137">
        <w:rPr>
          <w:sz w:val="20"/>
          <w:szCs w:val="20"/>
        </w:rPr>
        <w:t xml:space="preserve">An instance of E77 Persistent Item does not require actual knowledge of the </w:t>
      </w:r>
      <w:r>
        <w:rPr>
          <w:sz w:val="20"/>
          <w:szCs w:val="20"/>
        </w:rPr>
        <w:t>identity</w:t>
      </w:r>
      <w:r w:rsidRPr="00013137">
        <w:rPr>
          <w:sz w:val="20"/>
          <w:szCs w:val="20"/>
        </w:rPr>
        <w:t xml:space="preserve"> of the instance being currently known. There may be cases, where the actual </w:t>
      </w:r>
      <w:r>
        <w:rPr>
          <w:sz w:val="20"/>
          <w:szCs w:val="20"/>
        </w:rPr>
        <w:t>identity</w:t>
      </w:r>
      <w:r w:rsidRPr="00013137">
        <w:rPr>
          <w:sz w:val="20"/>
          <w:szCs w:val="20"/>
        </w:rPr>
        <w:t xml:space="preserve"> of an instance of E77 Persistent Item </w:t>
      </w:r>
      <w:r>
        <w:rPr>
          <w:sz w:val="20"/>
          <w:szCs w:val="20"/>
        </w:rPr>
        <w:t xml:space="preserve">is </w:t>
      </w:r>
      <w:r w:rsidRPr="00013137">
        <w:rPr>
          <w:sz w:val="20"/>
          <w:szCs w:val="20"/>
        </w:rPr>
        <w:t>not decidable at a particular state of knowledge.</w:t>
      </w:r>
    </w:p>
    <w:p w14:paraId="22956CBB" w14:textId="77777777" w:rsidR="00846E2B" w:rsidRPr="00013137" w:rsidRDefault="00846E2B" w:rsidP="00846E2B">
      <w:pPr>
        <w:spacing w:after="0"/>
        <w:rPr>
          <w:sz w:val="20"/>
          <w:szCs w:val="20"/>
        </w:rPr>
      </w:pPr>
      <w:r w:rsidRPr="00013137">
        <w:rPr>
          <w:sz w:val="20"/>
          <w:szCs w:val="20"/>
        </w:rPr>
        <w:t>Examples:</w:t>
      </w:r>
    </w:p>
    <w:p w14:paraId="59790CA3" w14:textId="77777777" w:rsidR="00846E2B" w:rsidRPr="00013137" w:rsidRDefault="00846E2B" w:rsidP="00846E2B">
      <w:pPr>
        <w:pStyle w:val="ListParagraph"/>
        <w:numPr>
          <w:ilvl w:val="0"/>
          <w:numId w:val="3"/>
        </w:numPr>
        <w:ind w:left="1800"/>
        <w:rPr>
          <w:sz w:val="20"/>
          <w:szCs w:val="20"/>
        </w:rPr>
      </w:pPr>
      <w:r w:rsidRPr="00013137">
        <w:rPr>
          <w:sz w:val="20"/>
          <w:szCs w:val="20"/>
        </w:rPr>
        <w:t>Leonard da Vinci (Strano, 1953)</w:t>
      </w:r>
    </w:p>
    <w:p w14:paraId="13E6A6BA" w14:textId="77777777" w:rsidR="00846E2B" w:rsidRPr="00013137" w:rsidRDefault="00846E2B" w:rsidP="00846E2B">
      <w:pPr>
        <w:pStyle w:val="ListParagraph"/>
        <w:numPr>
          <w:ilvl w:val="0"/>
          <w:numId w:val="3"/>
        </w:numPr>
        <w:ind w:left="1800"/>
        <w:rPr>
          <w:sz w:val="20"/>
          <w:szCs w:val="20"/>
        </w:rPr>
      </w:pPr>
      <w:r w:rsidRPr="00013137">
        <w:rPr>
          <w:sz w:val="20"/>
          <w:szCs w:val="20"/>
        </w:rPr>
        <w:t>Stonehenge (Richards, 2005)</w:t>
      </w:r>
    </w:p>
    <w:p w14:paraId="1296FB6D" w14:textId="77777777" w:rsidR="00846E2B" w:rsidRPr="00013137" w:rsidRDefault="00846E2B" w:rsidP="00846E2B">
      <w:pPr>
        <w:pStyle w:val="ListParagraph"/>
        <w:numPr>
          <w:ilvl w:val="0"/>
          <w:numId w:val="3"/>
        </w:numPr>
        <w:ind w:left="1800"/>
        <w:rPr>
          <w:sz w:val="20"/>
          <w:szCs w:val="20"/>
        </w:rPr>
      </w:pPr>
      <w:r w:rsidRPr="00013137">
        <w:rPr>
          <w:sz w:val="20"/>
          <w:szCs w:val="20"/>
        </w:rPr>
        <w:t>the hole in the ozone layer (Hufford and Horwitz, 2005)</w:t>
      </w:r>
    </w:p>
    <w:p w14:paraId="45382D82" w14:textId="77777777" w:rsidR="00846E2B" w:rsidRPr="00013137" w:rsidRDefault="00846E2B" w:rsidP="00846E2B">
      <w:pPr>
        <w:pStyle w:val="ListParagraph"/>
        <w:numPr>
          <w:ilvl w:val="0"/>
          <w:numId w:val="3"/>
        </w:numPr>
        <w:ind w:left="1800"/>
        <w:rPr>
          <w:sz w:val="20"/>
          <w:szCs w:val="20"/>
        </w:rPr>
      </w:pPr>
      <w:r w:rsidRPr="00013137">
        <w:rPr>
          <w:sz w:val="20"/>
          <w:szCs w:val="20"/>
        </w:rPr>
        <w:t>the First Law of Thermodynamics (Craig and Gislason, 2002)</w:t>
      </w:r>
    </w:p>
    <w:p w14:paraId="1736B4D0" w14:textId="77777777" w:rsidR="00846E2B" w:rsidRPr="00013137" w:rsidRDefault="00846E2B" w:rsidP="00846E2B">
      <w:pPr>
        <w:pStyle w:val="ListParagraph"/>
        <w:numPr>
          <w:ilvl w:val="0"/>
          <w:numId w:val="3"/>
        </w:numPr>
        <w:ind w:left="1800"/>
        <w:rPr>
          <w:sz w:val="20"/>
          <w:szCs w:val="20"/>
        </w:rPr>
      </w:pPr>
      <w:r w:rsidRPr="00013137">
        <w:rPr>
          <w:sz w:val="20"/>
          <w:szCs w:val="20"/>
        </w:rPr>
        <w:t>the Bermuda Triangle (Dolan, 2005)</w:t>
      </w:r>
    </w:p>
    <w:p w14:paraId="28C34836" w14:textId="77777777" w:rsidR="00846E2B" w:rsidRPr="00013137" w:rsidRDefault="00846E2B" w:rsidP="00846E2B">
      <w:pPr>
        <w:rPr>
          <w:sz w:val="20"/>
          <w:szCs w:val="20"/>
        </w:rPr>
      </w:pPr>
      <w:r w:rsidRPr="00013137">
        <w:rPr>
          <w:sz w:val="20"/>
          <w:szCs w:val="20"/>
        </w:rPr>
        <w:t>In First Order Logic:</w:t>
      </w:r>
    </w:p>
    <w:p w14:paraId="66B5FF61" w14:textId="77777777" w:rsidR="00846E2B" w:rsidRPr="00013137" w:rsidRDefault="00846E2B" w:rsidP="00846E2B">
      <w:pPr>
        <w:ind w:left="1350"/>
        <w:rPr>
          <w:sz w:val="20"/>
          <w:szCs w:val="20"/>
        </w:rPr>
      </w:pPr>
      <w:r w:rsidRPr="00013137">
        <w:rPr>
          <w:sz w:val="20"/>
          <w:szCs w:val="20"/>
        </w:rPr>
        <w:lastRenderedPageBreak/>
        <w:t xml:space="preserve">E77(x) </w:t>
      </w:r>
      <w:r w:rsidRPr="00013137">
        <w:rPr>
          <w:rFonts w:ascii="Cambria Math" w:hAnsi="Cambria Math" w:cs="Cambria Math"/>
          <w:sz w:val="20"/>
          <w:szCs w:val="20"/>
        </w:rPr>
        <w:t>⊃</w:t>
      </w:r>
      <w:r w:rsidRPr="00013137">
        <w:rPr>
          <w:sz w:val="20"/>
          <w:szCs w:val="20"/>
        </w:rPr>
        <w:t xml:space="preserve"> E1(x) </w:t>
      </w:r>
    </w:p>
    <w:p w14:paraId="6F131C2E" w14:textId="77777777" w:rsidR="00846E2B" w:rsidRDefault="00846E2B" w:rsidP="00846E2B">
      <w:pPr>
        <w:pStyle w:val="Heading4"/>
      </w:pPr>
      <w:r>
        <w:t>TO (new)</w:t>
      </w:r>
    </w:p>
    <w:p w14:paraId="4B2CF8C9" w14:textId="77777777" w:rsidR="00846E2B" w:rsidRPr="00013137" w:rsidRDefault="00846E2B" w:rsidP="00846E2B">
      <w:pPr>
        <w:spacing w:after="0"/>
        <w:rPr>
          <w:b/>
          <w:sz w:val="20"/>
          <w:szCs w:val="20"/>
        </w:rPr>
      </w:pPr>
      <w:r w:rsidRPr="00013137">
        <w:rPr>
          <w:b/>
          <w:sz w:val="20"/>
          <w:szCs w:val="20"/>
        </w:rPr>
        <w:t xml:space="preserve">E77 Persistent Item </w:t>
      </w:r>
    </w:p>
    <w:p w14:paraId="17511C66" w14:textId="77777777" w:rsidR="00846E2B" w:rsidRPr="00013137" w:rsidRDefault="00846E2B" w:rsidP="00846E2B">
      <w:pPr>
        <w:spacing w:after="0"/>
        <w:rPr>
          <w:sz w:val="20"/>
          <w:szCs w:val="20"/>
        </w:rPr>
      </w:pPr>
      <w:r w:rsidRPr="00013137">
        <w:rPr>
          <w:sz w:val="20"/>
          <w:szCs w:val="20"/>
        </w:rPr>
        <w:t xml:space="preserve">Subclass of:         </w:t>
      </w:r>
      <w:hyperlink r:id="rId8" w:anchor="_E1_CRM_Entity" w:history="1">
        <w:r w:rsidRPr="00013137">
          <w:t>E1</w:t>
        </w:r>
      </w:hyperlink>
      <w:r w:rsidRPr="00013137">
        <w:rPr>
          <w:sz w:val="20"/>
          <w:szCs w:val="20"/>
        </w:rPr>
        <w:t xml:space="preserve"> CRM Entity</w:t>
      </w:r>
    </w:p>
    <w:p w14:paraId="1DBB45AE" w14:textId="77777777" w:rsidR="00846E2B" w:rsidRDefault="00846E2B" w:rsidP="00846E2B">
      <w:pPr>
        <w:spacing w:after="0"/>
        <w:rPr>
          <w:sz w:val="20"/>
          <w:szCs w:val="20"/>
        </w:rPr>
      </w:pPr>
      <w:r w:rsidRPr="00013137">
        <w:rPr>
          <w:sz w:val="20"/>
          <w:szCs w:val="20"/>
        </w:rPr>
        <w:t xml:space="preserve">Superclass of:      </w:t>
      </w:r>
      <w:hyperlink r:id="rId9" w:anchor="_E39_Actor" w:history="1">
        <w:r w:rsidRPr="00013137">
          <w:t>E39</w:t>
        </w:r>
      </w:hyperlink>
      <w:r w:rsidRPr="00013137">
        <w:rPr>
          <w:sz w:val="20"/>
          <w:szCs w:val="20"/>
        </w:rPr>
        <w:t xml:space="preserve"> Actor</w:t>
      </w:r>
    </w:p>
    <w:p w14:paraId="346CE8C5" w14:textId="77777777" w:rsidR="00846E2B" w:rsidRPr="00013137" w:rsidRDefault="00F35F09" w:rsidP="00846E2B">
      <w:pPr>
        <w:ind w:left="720" w:firstLine="720"/>
        <w:rPr>
          <w:sz w:val="20"/>
          <w:szCs w:val="20"/>
        </w:rPr>
      </w:pPr>
      <w:hyperlink r:id="rId10" w:anchor="_E70_Thing" w:history="1">
        <w:r w:rsidR="00846E2B" w:rsidRPr="00013137">
          <w:t>E70</w:t>
        </w:r>
      </w:hyperlink>
      <w:r w:rsidR="00846E2B" w:rsidRPr="00013137">
        <w:rPr>
          <w:sz w:val="20"/>
          <w:szCs w:val="20"/>
        </w:rPr>
        <w:t xml:space="preserve"> Thing</w:t>
      </w:r>
    </w:p>
    <w:p w14:paraId="512AAF1F" w14:textId="77777777" w:rsidR="00846E2B" w:rsidRPr="00013137" w:rsidRDefault="00846E2B" w:rsidP="00846E2B">
      <w:pPr>
        <w:ind w:left="1440" w:hanging="1440"/>
        <w:rPr>
          <w:sz w:val="20"/>
          <w:szCs w:val="20"/>
        </w:rPr>
      </w:pPr>
      <w:r w:rsidRPr="00013137">
        <w:rPr>
          <w:sz w:val="20"/>
          <w:szCs w:val="20"/>
        </w:rPr>
        <w:t>Scope note:         This class comprises items that have persistent characteristics of structural nature substantially related to their identity and their integrity, sometimes known as “endurants” in philosophy. Persistent Items may be physical entities, such as people, animals or things, conceptual entities such as ideas, concepts, products of the imagination or even names.</w:t>
      </w:r>
    </w:p>
    <w:p w14:paraId="6D8D2521" w14:textId="77777777" w:rsidR="00846E2B" w:rsidRPr="00013137" w:rsidRDefault="00846E2B" w:rsidP="00846E2B">
      <w:pPr>
        <w:ind w:left="1440"/>
        <w:rPr>
          <w:sz w:val="20"/>
          <w:szCs w:val="20"/>
        </w:rPr>
      </w:pPr>
      <w:r w:rsidRPr="00013137">
        <w:rPr>
          <w:sz w:val="20"/>
          <w:szCs w:val="20"/>
        </w:rPr>
        <w:t>Instances of E77 Persistent Item may be present or be part of interactions in different periods or events. They can repeatedly be recognized at disparate occasions during their existence by characteristics of structural nature. The respective characteristics need not be exactly the same during all the existence of an instance of E77 Persistent Item. Often, they undergo gradual change, still bearing some similarities with that of previous times, or disappear completely and new emerge. For instance, a person, from the time of being born on, will gradually change all its features and acquire new ones, such as a scar. Even the DNA in different body cells will develop defects and mutations. Nevertheless, relevant characteristics use to be sufficiently similar to recognize the instance for some substantial period of time.</w:t>
      </w:r>
    </w:p>
    <w:p w14:paraId="5AD66044" w14:textId="77777777" w:rsidR="00846E2B" w:rsidRPr="00013137" w:rsidRDefault="00846E2B" w:rsidP="00846E2B">
      <w:pPr>
        <w:ind w:left="1440"/>
        <w:rPr>
          <w:sz w:val="20"/>
          <w:szCs w:val="20"/>
        </w:rPr>
      </w:pPr>
      <w:r w:rsidRPr="00013137">
        <w:rPr>
          <w:sz w:val="20"/>
          <w:szCs w:val="20"/>
        </w:rPr>
        <w:t>The more specific criteria that determine the identity of instances of subclasses of E77 Persistent Item may vary considerably and are described of referred to in the respective scope notes. The decision about which exact criteria to use depends on whether the observable behaviour of the respective part of reality such confined conforms to the reasoning the user is interested in. For example, a building can be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such as being bodily separated from other persons. Similarly, inanimate objects may be subject to exchange of parts and matter. On the opposite, the identity of a (version of a) text of a scientific publication is given by the exact arrangement of its relevant symbols.</w:t>
      </w:r>
    </w:p>
    <w:p w14:paraId="6D380584" w14:textId="77777777" w:rsidR="00846E2B" w:rsidRPr="00013137" w:rsidRDefault="00846E2B" w:rsidP="00846E2B">
      <w:pPr>
        <w:ind w:left="1440"/>
        <w:rPr>
          <w:sz w:val="20"/>
          <w:szCs w:val="20"/>
        </w:rPr>
      </w:pPr>
      <w:r w:rsidRPr="00013137">
        <w:rPr>
          <w:sz w:val="20"/>
          <w:szCs w:val="20"/>
        </w:rPr>
        <w:t xml:space="preserve">The main classes of objects that fall outside the scope </w:t>
      </w:r>
      <w:r>
        <w:rPr>
          <w:sz w:val="20"/>
          <w:szCs w:val="20"/>
        </w:rPr>
        <w:t xml:space="preserve">of </w:t>
      </w:r>
      <w:r w:rsidRPr="00013137">
        <w:rPr>
          <w:sz w:val="20"/>
          <w:szCs w:val="20"/>
        </w:rPr>
        <w:t>the E77 Persistent Item class are temporal objects such as periods, events and acts, and descriptive properties.</w:t>
      </w:r>
    </w:p>
    <w:p w14:paraId="1938799D" w14:textId="77777777" w:rsidR="00846E2B" w:rsidRPr="00013137" w:rsidRDefault="00846E2B" w:rsidP="00846E2B">
      <w:pPr>
        <w:ind w:left="1440"/>
        <w:rPr>
          <w:sz w:val="20"/>
          <w:szCs w:val="20"/>
        </w:rPr>
      </w:pPr>
      <w:r w:rsidRPr="00013137">
        <w:rPr>
          <w:sz w:val="20"/>
          <w:szCs w:val="20"/>
        </w:rPr>
        <w:t xml:space="preserve">An instance of E77 Persistent Item does not require actual knowledge of the </w:t>
      </w:r>
      <w:r>
        <w:rPr>
          <w:sz w:val="20"/>
          <w:szCs w:val="20"/>
        </w:rPr>
        <w:t>identifying features</w:t>
      </w:r>
      <w:r w:rsidRPr="00013137">
        <w:rPr>
          <w:sz w:val="20"/>
          <w:szCs w:val="20"/>
        </w:rPr>
        <w:t xml:space="preserve"> of the instance being currently known. There may be cases, where the actual </w:t>
      </w:r>
      <w:r>
        <w:rPr>
          <w:sz w:val="20"/>
          <w:szCs w:val="20"/>
        </w:rPr>
        <w:t>identifying features</w:t>
      </w:r>
      <w:r w:rsidRPr="00013137">
        <w:rPr>
          <w:sz w:val="20"/>
          <w:szCs w:val="20"/>
        </w:rPr>
        <w:t xml:space="preserve"> of an instance of E77 Persistent Item </w:t>
      </w:r>
      <w:r>
        <w:rPr>
          <w:sz w:val="20"/>
          <w:szCs w:val="20"/>
        </w:rPr>
        <w:t xml:space="preserve">are </w:t>
      </w:r>
      <w:r w:rsidRPr="00013137">
        <w:rPr>
          <w:sz w:val="20"/>
          <w:szCs w:val="20"/>
        </w:rPr>
        <w:t>not decidable at a particular state of knowledge.</w:t>
      </w:r>
    </w:p>
    <w:p w14:paraId="269E3BCD" w14:textId="77777777" w:rsidR="00846E2B" w:rsidRPr="00013137" w:rsidRDefault="00846E2B" w:rsidP="00846E2B">
      <w:pPr>
        <w:spacing w:after="0"/>
        <w:rPr>
          <w:sz w:val="20"/>
          <w:szCs w:val="20"/>
        </w:rPr>
      </w:pPr>
      <w:r w:rsidRPr="00013137">
        <w:rPr>
          <w:sz w:val="20"/>
          <w:szCs w:val="20"/>
        </w:rPr>
        <w:t>Examples:</w:t>
      </w:r>
    </w:p>
    <w:p w14:paraId="1F68F10E" w14:textId="77777777" w:rsidR="00846E2B" w:rsidRPr="00013137" w:rsidRDefault="00846E2B" w:rsidP="00846E2B">
      <w:pPr>
        <w:pStyle w:val="ListParagraph"/>
        <w:numPr>
          <w:ilvl w:val="0"/>
          <w:numId w:val="3"/>
        </w:numPr>
        <w:ind w:left="1800"/>
        <w:rPr>
          <w:sz w:val="20"/>
          <w:szCs w:val="20"/>
        </w:rPr>
      </w:pPr>
      <w:r w:rsidRPr="00013137">
        <w:rPr>
          <w:sz w:val="20"/>
          <w:szCs w:val="20"/>
        </w:rPr>
        <w:t>Leonard da Vinci (Strano, 1953)</w:t>
      </w:r>
    </w:p>
    <w:p w14:paraId="17F467CD" w14:textId="77777777" w:rsidR="00846E2B" w:rsidRPr="00013137" w:rsidRDefault="00846E2B" w:rsidP="00846E2B">
      <w:pPr>
        <w:pStyle w:val="ListParagraph"/>
        <w:numPr>
          <w:ilvl w:val="0"/>
          <w:numId w:val="3"/>
        </w:numPr>
        <w:ind w:left="1800"/>
        <w:rPr>
          <w:sz w:val="20"/>
          <w:szCs w:val="20"/>
        </w:rPr>
      </w:pPr>
      <w:r w:rsidRPr="00013137">
        <w:rPr>
          <w:sz w:val="20"/>
          <w:szCs w:val="20"/>
        </w:rPr>
        <w:t>Stonehenge (Richards, 2005)</w:t>
      </w:r>
    </w:p>
    <w:p w14:paraId="163EE26A" w14:textId="77777777" w:rsidR="00846E2B" w:rsidRPr="00013137" w:rsidRDefault="00846E2B" w:rsidP="00846E2B">
      <w:pPr>
        <w:pStyle w:val="ListParagraph"/>
        <w:numPr>
          <w:ilvl w:val="0"/>
          <w:numId w:val="3"/>
        </w:numPr>
        <w:ind w:left="1800"/>
        <w:rPr>
          <w:sz w:val="20"/>
          <w:szCs w:val="20"/>
        </w:rPr>
      </w:pPr>
      <w:r w:rsidRPr="00013137">
        <w:rPr>
          <w:sz w:val="20"/>
          <w:szCs w:val="20"/>
        </w:rPr>
        <w:t>the hole in the ozone layer (Hufford and Horwitz, 2005)</w:t>
      </w:r>
    </w:p>
    <w:p w14:paraId="0580C62B" w14:textId="77777777" w:rsidR="00846E2B" w:rsidRPr="00013137" w:rsidRDefault="00846E2B" w:rsidP="00846E2B">
      <w:pPr>
        <w:pStyle w:val="ListParagraph"/>
        <w:numPr>
          <w:ilvl w:val="0"/>
          <w:numId w:val="3"/>
        </w:numPr>
        <w:ind w:left="1800"/>
        <w:rPr>
          <w:sz w:val="20"/>
          <w:szCs w:val="20"/>
        </w:rPr>
      </w:pPr>
      <w:r w:rsidRPr="00013137">
        <w:rPr>
          <w:sz w:val="20"/>
          <w:szCs w:val="20"/>
        </w:rPr>
        <w:t>the First Law of Thermodynamics (Craig and Gislason, 2002)</w:t>
      </w:r>
    </w:p>
    <w:p w14:paraId="383F01F0" w14:textId="77777777" w:rsidR="00846E2B" w:rsidRPr="00013137" w:rsidRDefault="00846E2B" w:rsidP="00846E2B">
      <w:pPr>
        <w:pStyle w:val="ListParagraph"/>
        <w:numPr>
          <w:ilvl w:val="0"/>
          <w:numId w:val="3"/>
        </w:numPr>
        <w:ind w:left="1800"/>
        <w:rPr>
          <w:sz w:val="20"/>
          <w:szCs w:val="20"/>
        </w:rPr>
      </w:pPr>
      <w:r w:rsidRPr="00013137">
        <w:rPr>
          <w:sz w:val="20"/>
          <w:szCs w:val="20"/>
        </w:rPr>
        <w:t>the Bermuda Triangle (Dolan, 2005)</w:t>
      </w:r>
    </w:p>
    <w:p w14:paraId="643A355E" w14:textId="77777777" w:rsidR="00846E2B" w:rsidRPr="00013137" w:rsidRDefault="00846E2B" w:rsidP="00846E2B">
      <w:pPr>
        <w:rPr>
          <w:sz w:val="20"/>
          <w:szCs w:val="20"/>
        </w:rPr>
      </w:pPr>
      <w:r w:rsidRPr="00013137">
        <w:rPr>
          <w:sz w:val="20"/>
          <w:szCs w:val="20"/>
        </w:rPr>
        <w:t>In First Order Logic:</w:t>
      </w:r>
    </w:p>
    <w:p w14:paraId="281E478B" w14:textId="77777777" w:rsidR="00846E2B" w:rsidRDefault="00846E2B" w:rsidP="00846E2B">
      <w:pPr>
        <w:ind w:left="1350"/>
        <w:rPr>
          <w:sz w:val="20"/>
          <w:szCs w:val="20"/>
        </w:rPr>
      </w:pPr>
      <w:r w:rsidRPr="00013137">
        <w:rPr>
          <w:sz w:val="20"/>
          <w:szCs w:val="20"/>
        </w:rPr>
        <w:t xml:space="preserve">E77(x) </w:t>
      </w:r>
      <w:r w:rsidRPr="00013137">
        <w:rPr>
          <w:rFonts w:ascii="Cambria Math" w:hAnsi="Cambria Math" w:cs="Cambria Math"/>
          <w:sz w:val="20"/>
          <w:szCs w:val="20"/>
        </w:rPr>
        <w:t>⊃</w:t>
      </w:r>
      <w:r w:rsidRPr="00013137">
        <w:rPr>
          <w:sz w:val="20"/>
          <w:szCs w:val="20"/>
        </w:rPr>
        <w:t xml:space="preserve"> E1(x) </w:t>
      </w:r>
    </w:p>
    <w:p w14:paraId="2CAB64A8" w14:textId="77777777" w:rsidR="006C16C1" w:rsidRDefault="00F35F09"/>
    <w:sectPr w:rsidR="006C1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01"/>
    <w:multiLevelType w:val="hybridMultilevel"/>
    <w:tmpl w:val="4C220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022AE"/>
    <w:multiLevelType w:val="hybridMultilevel"/>
    <w:tmpl w:val="6682F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CCA03DC"/>
    <w:multiLevelType w:val="hybridMultilevel"/>
    <w:tmpl w:val="84067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D6"/>
    <w:rsid w:val="002C79A6"/>
    <w:rsid w:val="00846E2B"/>
    <w:rsid w:val="0090101A"/>
    <w:rsid w:val="00B236D6"/>
    <w:rsid w:val="00F3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9328"/>
  <w15:chartTrackingRefBased/>
  <w15:docId w15:val="{3F6420BC-9F96-469D-9836-EBE932C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2B"/>
  </w:style>
  <w:style w:type="paragraph" w:styleId="Heading3">
    <w:name w:val="heading 3"/>
    <w:basedOn w:val="Normal"/>
    <w:next w:val="Normal"/>
    <w:link w:val="Heading3Char1"/>
    <w:unhideWhenUsed/>
    <w:qFormat/>
    <w:rsid w:val="00846E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846E2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846E2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846E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846E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846E2B"/>
    <w:rPr>
      <w:rFonts w:asciiTheme="majorHAnsi" w:eastAsiaTheme="majorEastAsia" w:hAnsiTheme="majorHAnsi" w:cstheme="majorBidi"/>
      <w:color w:val="2E74B5" w:themeColor="accent1" w:themeShade="BF"/>
    </w:rPr>
  </w:style>
  <w:style w:type="character" w:customStyle="1" w:styleId="Heading3Char1">
    <w:name w:val="Heading 3 Char1"/>
    <w:basedOn w:val="DefaultParagraphFont"/>
    <w:link w:val="Heading3"/>
    <w:rsid w:val="00846E2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rsid w:val="00846E2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rsid w:val="00846E2B"/>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46E2B"/>
    <w:pPr>
      <w:spacing w:after="0" w:line="240" w:lineRule="auto"/>
      <w:ind w:left="720"/>
      <w:contextualSpacing/>
    </w:pPr>
    <w:rPr>
      <w:rFonts w:eastAsiaTheme="minorEastAsia"/>
      <w:sz w:val="24"/>
      <w:szCs w:val="24"/>
      <w:lang w:val="it-IT" w:eastAsia="it-IT"/>
    </w:rPr>
  </w:style>
  <w:style w:type="character" w:styleId="Hyperlink">
    <w:name w:val="Hyperlink"/>
    <w:uiPriority w:val="99"/>
    <w:rsid w:val="00846E2B"/>
    <w:rPr>
      <w:color w:val="0000FF"/>
      <w:u w:val="single"/>
    </w:rPr>
  </w:style>
  <w:style w:type="character" w:styleId="CommentReference">
    <w:name w:val="annotation reference"/>
    <w:basedOn w:val="DefaultParagraphFont"/>
    <w:uiPriority w:val="99"/>
    <w:semiHidden/>
    <w:unhideWhenUsed/>
    <w:rsid w:val="00846E2B"/>
    <w:rPr>
      <w:sz w:val="16"/>
      <w:szCs w:val="16"/>
    </w:rPr>
  </w:style>
  <w:style w:type="paragraph" w:styleId="CommentText">
    <w:name w:val="annotation text"/>
    <w:basedOn w:val="Normal"/>
    <w:link w:val="CommentTextChar1"/>
    <w:uiPriority w:val="99"/>
    <w:unhideWhenUsed/>
    <w:rsid w:val="00846E2B"/>
    <w:pPr>
      <w:spacing w:after="0" w:line="240" w:lineRule="auto"/>
    </w:pPr>
    <w:rPr>
      <w:rFonts w:ascii="Times New Roman" w:eastAsia="Times New Roman" w:hAnsi="Times New Roman" w:cs="Times New Roman"/>
      <w:sz w:val="20"/>
      <w:szCs w:val="20"/>
      <w:lang w:val="en-GB" w:eastAsia="el-GR"/>
    </w:rPr>
  </w:style>
  <w:style w:type="character" w:customStyle="1" w:styleId="CommentTextChar">
    <w:name w:val="Comment Text Char"/>
    <w:basedOn w:val="DefaultParagraphFont"/>
    <w:uiPriority w:val="99"/>
    <w:semiHidden/>
    <w:rsid w:val="00846E2B"/>
    <w:rPr>
      <w:sz w:val="20"/>
      <w:szCs w:val="20"/>
    </w:rPr>
  </w:style>
  <w:style w:type="character" w:customStyle="1" w:styleId="CommentTextChar1">
    <w:name w:val="Comment Text Char1"/>
    <w:basedOn w:val="DefaultParagraphFont"/>
    <w:link w:val="CommentText"/>
    <w:uiPriority w:val="99"/>
    <w:rsid w:val="00846E2B"/>
    <w:rPr>
      <w:rFonts w:ascii="Times New Roman" w:eastAsia="Times New Roman" w:hAnsi="Times New Roman" w:cs="Times New Roman"/>
      <w:sz w:val="20"/>
      <w:szCs w:val="20"/>
      <w:lang w:val="en-GB" w:eastAsia="el-GR"/>
    </w:rPr>
  </w:style>
  <w:style w:type="paragraph" w:styleId="PlainText">
    <w:name w:val="Plain Text"/>
    <w:basedOn w:val="Normal"/>
    <w:next w:val="Normal"/>
    <w:link w:val="PlainTextChar1"/>
    <w:uiPriority w:val="99"/>
    <w:rsid w:val="00846E2B"/>
    <w:pPr>
      <w:suppressAutoHyphens/>
      <w:spacing w:after="0" w:line="240" w:lineRule="auto"/>
      <w:jc w:val="both"/>
    </w:pPr>
    <w:rPr>
      <w:rFonts w:ascii="Consolas" w:eastAsia="SimSun" w:hAnsi="Consolas" w:cs="Consolas"/>
      <w:sz w:val="21"/>
      <w:szCs w:val="21"/>
      <w:lang w:eastAsia="zh-CN"/>
    </w:rPr>
  </w:style>
  <w:style w:type="character" w:customStyle="1" w:styleId="PlainTextChar">
    <w:name w:val="Plain Text Char"/>
    <w:basedOn w:val="DefaultParagraphFont"/>
    <w:uiPriority w:val="99"/>
    <w:semiHidden/>
    <w:rsid w:val="00846E2B"/>
    <w:rPr>
      <w:rFonts w:ascii="Consolas" w:hAnsi="Consolas"/>
      <w:sz w:val="21"/>
      <w:szCs w:val="21"/>
    </w:rPr>
  </w:style>
  <w:style w:type="character" w:customStyle="1" w:styleId="PlainTextChar1">
    <w:name w:val="Plain Text Char1"/>
    <w:basedOn w:val="DefaultParagraphFont"/>
    <w:link w:val="PlainText"/>
    <w:uiPriority w:val="99"/>
    <w:rsid w:val="00846E2B"/>
    <w:rPr>
      <w:rFonts w:ascii="Consolas" w:eastAsia="SimSun" w:hAnsi="Consolas" w:cs="Consolas"/>
      <w:sz w:val="21"/>
      <w:szCs w:val="21"/>
      <w:lang w:eastAsia="zh-CN"/>
    </w:rPr>
  </w:style>
  <w:style w:type="paragraph" w:styleId="BalloonText">
    <w:name w:val="Balloon Text"/>
    <w:basedOn w:val="Normal"/>
    <w:link w:val="BalloonTextChar"/>
    <w:uiPriority w:val="99"/>
    <w:semiHidden/>
    <w:unhideWhenUsed/>
    <w:rsid w:val="00846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Users\bekiari\AppData\Roaming\Thunderbird\Profiles\xyho8tm5.default\Mail\Local%20Folders\CIDOC-FRBR.sbd\Issues%20CIDOCa31b0e59%3fnumber=117107084" TargetMode="External"/><Relationship Id="rId3" Type="http://schemas.openxmlformats.org/officeDocument/2006/relationships/settings" Target="settings.xml"/><Relationship Id="rId7" Type="http://schemas.openxmlformats.org/officeDocument/2006/relationships/hyperlink" Target="file:///C:\C:\Users\bekiari\AppData\Roaming\Thunderbird\Profiles\xyho8tm5.default\Mail\Local%20Folders\CIDOC-FRBR.sbd\Issues%20CIDOCa31b0e59%3fnumber=1171070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Users\bekiari\AppData\Roaming\Thunderbird\Profiles\xyho8tm5.default\Mail\Local%20Folders\CIDOC-FRBR.sbd\Issues%20CIDOCa31b0e59%3fnumber=117107084" TargetMode="External"/><Relationship Id="rId11" Type="http://schemas.openxmlformats.org/officeDocument/2006/relationships/fontTable" Target="fontTable.xml"/><Relationship Id="rId5" Type="http://schemas.openxmlformats.org/officeDocument/2006/relationships/hyperlink" Target="file:///C:\C:\Users\bekiari\AppData\Roaming\Thunderbird\Profiles\xyho8tm5.default\Mail\Local%20Folders\CIDOC-FRBR.sbd\Issues%20CIDOCa31b0e59%3fnumber=117107084" TargetMode="External"/><Relationship Id="rId10" Type="http://schemas.openxmlformats.org/officeDocument/2006/relationships/hyperlink" Target="file:///C:\C:\Users\bekiari\AppData\Roaming\Thunderbird\Profiles\xyho8tm5.default\Mail\Local%20Folders\CIDOC-FRBR.sbd\Issues%20CIDOCa31b0e59%3fnumber=117107084" TargetMode="External"/><Relationship Id="rId4" Type="http://schemas.openxmlformats.org/officeDocument/2006/relationships/webSettings" Target="webSettings.xml"/><Relationship Id="rId9" Type="http://schemas.openxmlformats.org/officeDocument/2006/relationships/hyperlink" Target="file:///C:\C:\Users\bekiari\AppData\Roaming\Thunderbird\Profiles\xyho8tm5.default\Mail\Local%20Folders\CIDOC-FRBR.sbd\Issues%20CIDOCa31b0e59%3fnumber=117107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3</cp:revision>
  <dcterms:created xsi:type="dcterms:W3CDTF">2020-04-30T06:41:00Z</dcterms:created>
  <dcterms:modified xsi:type="dcterms:W3CDTF">2020-04-30T07:58:00Z</dcterms:modified>
</cp:coreProperties>
</file>