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E2E38" w14:textId="77777777" w:rsidR="00FD5424" w:rsidRPr="00FD5424" w:rsidRDefault="00FD5424" w:rsidP="00FD5424">
      <w:pPr>
        <w:pStyle w:val="Heading1"/>
        <w:rPr>
          <w:lang w:val="en-US"/>
        </w:rPr>
      </w:pPr>
      <w:bookmarkStart w:id="0" w:name="_R56_has_related"/>
      <w:bookmarkStart w:id="1" w:name="_Toc83803556"/>
      <w:bookmarkEnd w:id="0"/>
      <w:r w:rsidRPr="00FD5424">
        <w:rPr>
          <w:lang w:val="en-US"/>
        </w:rPr>
        <w:t>360 LRMoo</w:t>
      </w:r>
      <w:bookmarkEnd w:id="1"/>
    </w:p>
    <w:p w14:paraId="556FD696" w14:textId="2B6CB5BF" w:rsidR="00FD5424" w:rsidRPr="00FD5424" w:rsidRDefault="00DD587E" w:rsidP="00FD5424">
      <w:pPr>
        <w:rPr>
          <w:lang w:val="en-US"/>
        </w:rPr>
      </w:pPr>
      <w:r>
        <w:rPr>
          <w:lang w:val="en-US"/>
        </w:rPr>
        <w:t xml:space="preserve">Details of the </w:t>
      </w:r>
      <w:r w:rsidR="00FD5424" w:rsidRPr="00FD5424">
        <w:rPr>
          <w:lang w:val="en-US"/>
        </w:rPr>
        <w:t xml:space="preserve">sub-topics </w:t>
      </w:r>
      <w:r>
        <w:rPr>
          <w:lang w:val="en-US"/>
        </w:rPr>
        <w:t>brought to the SIG for discussion</w:t>
      </w:r>
      <w:r w:rsidR="00FD5424" w:rsidRPr="00FD5424">
        <w:rPr>
          <w:lang w:val="en-US"/>
        </w:rPr>
        <w:t xml:space="preserve">. </w:t>
      </w:r>
    </w:p>
    <w:p w14:paraId="3E8813D5" w14:textId="77777777" w:rsidR="00FD5424" w:rsidRPr="00FD5424" w:rsidRDefault="00FD5424" w:rsidP="00FD5424">
      <w:pPr>
        <w:pStyle w:val="Heading2"/>
        <w:rPr>
          <w:lang w:val="en-US"/>
        </w:rPr>
      </w:pPr>
      <w:r w:rsidRPr="00FD5424">
        <w:rPr>
          <w:lang w:val="en-US"/>
        </w:rPr>
        <w:t>F5 Item</w:t>
      </w:r>
    </w:p>
    <w:p w14:paraId="056D95F8" w14:textId="77777777" w:rsidR="00FD5424" w:rsidRPr="00FD5424" w:rsidRDefault="00FD5424" w:rsidP="00FD5424">
      <w:pPr>
        <w:suppressAutoHyphens w:val="0"/>
        <w:spacing w:after="160" w:line="259" w:lineRule="auto"/>
        <w:rPr>
          <w:lang w:val="en-US"/>
        </w:rPr>
      </w:pPr>
      <w:r w:rsidRPr="00FD5424">
        <w:rPr>
          <w:lang w:val="en-US"/>
        </w:rPr>
        <w:t xml:space="preserve">Its superclass changed to E18 Physical Thing, which results in a clash with the range of </w:t>
      </w:r>
      <w:r w:rsidRPr="00FD5424">
        <w:rPr>
          <w:i/>
          <w:iCs/>
          <w:lang w:val="en-US"/>
        </w:rPr>
        <w:t>R18 created</w:t>
      </w:r>
      <w:r w:rsidRPr="00FD5424">
        <w:rPr>
          <w:lang w:val="en-US"/>
        </w:rPr>
        <w:t xml:space="preserve"> (R: F28 Expression Creation, R: F5 Item) and </w:t>
      </w:r>
      <w:r w:rsidRPr="00FD5424">
        <w:rPr>
          <w:i/>
          <w:iCs/>
          <w:lang w:val="en-US"/>
        </w:rPr>
        <w:t>R28 produced</w:t>
      </w:r>
      <w:r w:rsidRPr="00FD5424">
        <w:rPr>
          <w:lang w:val="en-US"/>
        </w:rPr>
        <w:t xml:space="preserve"> (D: F32 Carrier Production Event, R: F5 Item). They are IsA P108 has produced (D: E12 Production, R: E24 Physical Human-Made Thing), but E24 IsA E18.</w:t>
      </w:r>
    </w:p>
    <w:p w14:paraId="581EF86D" w14:textId="3A0ACB17" w:rsidR="00FD5424" w:rsidRPr="00FD5424" w:rsidRDefault="00FD5424" w:rsidP="00FD5424">
      <w:pPr>
        <w:suppressAutoHyphens w:val="0"/>
        <w:spacing w:after="160" w:line="259" w:lineRule="auto"/>
        <w:rPr>
          <w:lang w:val="en-US"/>
        </w:rPr>
      </w:pPr>
      <w:r w:rsidRPr="00FD5424">
        <w:rPr>
          <w:b/>
          <w:bCs/>
          <w:lang w:val="en-US"/>
        </w:rPr>
        <w:t>Proposal</w:t>
      </w:r>
      <w:r w:rsidRPr="00FD5424">
        <w:rPr>
          <w:lang w:val="en-US"/>
        </w:rPr>
        <w:t xml:space="preserve">: They don’t need a more general superproperty, but a more specific superclass for F5 Item (E24 Human-Made Physical Thing). This should reflect in the scope note. See </w:t>
      </w:r>
      <w:hyperlink w:anchor="_F5_Item_1" w:history="1">
        <w:r w:rsidR="00DD587E">
          <w:rPr>
            <w:color w:val="0563C1" w:themeColor="hyperlink"/>
            <w:u w:val="single"/>
            <w:lang w:val="en-US"/>
          </w:rPr>
          <w:t>below</w:t>
        </w:r>
      </w:hyperlink>
      <w:r w:rsidRPr="00FD5424">
        <w:rPr>
          <w:lang w:val="en-US"/>
        </w:rPr>
        <w:t xml:space="preserve"> for the details </w:t>
      </w:r>
    </w:p>
    <w:p w14:paraId="372D4351" w14:textId="77777777" w:rsidR="00FD5424" w:rsidRPr="00FD5424" w:rsidRDefault="00FD5424" w:rsidP="00FD5424">
      <w:pPr>
        <w:suppressAutoHyphens w:val="0"/>
        <w:spacing w:after="160" w:line="259" w:lineRule="auto"/>
        <w:rPr>
          <w:b/>
          <w:bCs/>
          <w:lang w:val="en-US"/>
        </w:rPr>
      </w:pPr>
      <w:r w:rsidRPr="00FD5424">
        <w:rPr>
          <w:b/>
          <w:bCs/>
          <w:lang w:val="en-US"/>
        </w:rPr>
        <w:t xml:space="preserve">Discussion: </w:t>
      </w:r>
    </w:p>
    <w:p w14:paraId="5E7C4C79" w14:textId="77777777" w:rsidR="00FD5424" w:rsidRPr="00FD5424" w:rsidRDefault="00FD5424" w:rsidP="00FD5424">
      <w:pPr>
        <w:suppressAutoHyphens w:val="0"/>
        <w:spacing w:after="160" w:line="259" w:lineRule="auto"/>
        <w:rPr>
          <w:lang w:val="en-US"/>
        </w:rPr>
      </w:pPr>
      <w:r w:rsidRPr="00FD5424">
        <w:rPr>
          <w:lang w:val="en-US"/>
        </w:rPr>
        <w:t>Since a wall-print would count as an instance of F5, the phrase “An instance of F5 Item that is stored on a part of a larger electronic support[…]” should be rephrased to “An instance of F5 Item that is stored on a part of a larger physical support[…]”</w:t>
      </w:r>
    </w:p>
    <w:p w14:paraId="618E93D3" w14:textId="77777777" w:rsidR="00FD5424" w:rsidRPr="00FD5424" w:rsidRDefault="00FD5424" w:rsidP="00FD5424">
      <w:pPr>
        <w:suppressAutoHyphens w:val="0"/>
        <w:spacing w:after="160" w:line="259" w:lineRule="auto"/>
        <w:rPr>
          <w:lang w:val="en-US"/>
        </w:rPr>
      </w:pPr>
      <w:r w:rsidRPr="00FD5424">
        <w:rPr>
          <w:b/>
          <w:bCs/>
          <w:lang w:val="en-US"/>
        </w:rPr>
        <w:t>Vote</w:t>
      </w:r>
      <w:r w:rsidRPr="00FD5424">
        <w:rPr>
          <w:lang w:val="en-US"/>
        </w:rPr>
        <w:t xml:space="preserve"> to accept the proposed changes in the definition of F5 Item</w:t>
      </w:r>
      <w:r w:rsidRPr="00FD5424">
        <w:rPr>
          <w:lang w:val="en-US"/>
        </w:rPr>
        <w:br/>
        <w:t>In favor: 14</w:t>
      </w:r>
      <w:r w:rsidRPr="00FD5424">
        <w:rPr>
          <w:lang w:val="en-US"/>
        </w:rPr>
        <w:br/>
        <w:t>Against: none</w:t>
      </w:r>
      <w:r w:rsidRPr="00FD5424">
        <w:rPr>
          <w:lang w:val="en-US"/>
        </w:rPr>
        <w:br/>
      </w:r>
      <w:r w:rsidRPr="00FD5424">
        <w:rPr>
          <w:b/>
          <w:bCs/>
          <w:lang w:val="en-US"/>
        </w:rPr>
        <w:t>Outcome</w:t>
      </w:r>
      <w:r w:rsidRPr="00FD5424">
        <w:rPr>
          <w:lang w:val="en-US"/>
        </w:rPr>
        <w:t>: passed</w:t>
      </w:r>
    </w:p>
    <w:p w14:paraId="6E5E07C4" w14:textId="77777777" w:rsidR="00DD587E" w:rsidRPr="00FD5424" w:rsidRDefault="00DD587E" w:rsidP="00DD587E">
      <w:pPr>
        <w:pStyle w:val="Heading3"/>
        <w:rPr>
          <w:lang w:val="en-US"/>
        </w:rPr>
      </w:pPr>
      <w:bookmarkStart w:id="2" w:name="_F5_Item_1"/>
      <w:bookmarkEnd w:id="2"/>
      <w:r w:rsidRPr="00FD5424">
        <w:rPr>
          <w:lang w:val="en-US"/>
        </w:rPr>
        <w:t>F5 Item</w:t>
      </w:r>
    </w:p>
    <w:p w14:paraId="285CD547"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Subclass of:</w:t>
      </w:r>
      <w:r w:rsidRPr="00FD5424">
        <w:rPr>
          <w:rFonts w:ascii="Times New Roman" w:hAnsi="Times New Roman" w:cs="Times New Roman"/>
          <w:lang w:val="en-US"/>
        </w:rPr>
        <w:tab/>
        <w:t>E18 Physical Thing (change to E24 Physical Human-Made Thing)</w:t>
      </w:r>
    </w:p>
    <w:p w14:paraId="0C6ECE00" w14:textId="77777777" w:rsidR="00DD587E" w:rsidRPr="00FD5424" w:rsidRDefault="00DD587E" w:rsidP="00DD587E">
      <w:pPr>
        <w:rPr>
          <w:rFonts w:ascii="Times New Roman" w:hAnsi="Times New Roman" w:cs="Times New Roman"/>
          <w:lang w:val="en-US"/>
        </w:rPr>
      </w:pPr>
    </w:p>
    <w:p w14:paraId="11E19B3D" w14:textId="77777777" w:rsidR="00DD587E" w:rsidRPr="00FD5424" w:rsidRDefault="00DD587E" w:rsidP="00DD587E">
      <w:pPr>
        <w:ind w:left="1440" w:hanging="1440"/>
        <w:rPr>
          <w:rFonts w:ascii="Times New Roman" w:hAnsi="Times New Roman" w:cs="Times New Roman"/>
          <w:lang w:val="en-US"/>
        </w:rPr>
      </w:pPr>
      <w:r w:rsidRPr="00FD5424">
        <w:rPr>
          <w:rFonts w:ascii="Times New Roman" w:hAnsi="Times New Roman" w:cs="Times New Roman"/>
          <w:lang w:val="en-US"/>
        </w:rPr>
        <w:t>Scope note:</w:t>
      </w:r>
      <w:r w:rsidRPr="00FD5424">
        <w:rPr>
          <w:rFonts w:ascii="Times New Roman" w:hAnsi="Times New Roman" w:cs="Times New Roman"/>
          <w:lang w:val="en-US"/>
        </w:rPr>
        <w:tab/>
        <w:t>This class comprises physical objects (printed books, scores, CDs, DVDs, CD-ROMS, etc.) that were produced by (P186i) an industrial process involving a given instance of F3 Manifestation. As a result, all the instances of F5 Item associated with a given instance of F3 Manifestation are expected to carry the content defined in that instance of F3 Manifestation, although some or even all of them may happen to carry a content that significantly differs from it, due to either an accident in the course of industrial production, or subsequent physical modification or degradation.</w:t>
      </w:r>
    </w:p>
    <w:p w14:paraId="170D2058" w14:textId="77777777" w:rsidR="00DD587E" w:rsidRPr="00FD5424" w:rsidRDefault="00DD587E" w:rsidP="00DD587E">
      <w:pPr>
        <w:ind w:left="1440"/>
        <w:rPr>
          <w:rFonts w:ascii="Times New Roman" w:hAnsi="Times New Roman" w:cs="Times New Roman"/>
          <w:lang w:val="en-US"/>
        </w:rPr>
      </w:pPr>
      <w:r w:rsidRPr="00FD5424">
        <w:rPr>
          <w:rFonts w:ascii="Times New Roman" w:hAnsi="Times New Roman" w:cs="Times New Roman"/>
          <w:lang w:val="en-US"/>
        </w:rPr>
        <w:t>An instance of F5 Item that consists of a physical object or set of objects with clear physical boundaries is also an instance of E22 Human-Made Object. An instance of F5 Item that is stored on a part of a larger physical support (such as an electronic file among others on a disc) can also be considered to be an instance of E25 Human-Made Feature.</w:t>
      </w:r>
    </w:p>
    <w:p w14:paraId="6D9E97BF" w14:textId="77777777" w:rsidR="00DD587E" w:rsidRPr="00FD5424" w:rsidRDefault="00DD587E" w:rsidP="00DD587E">
      <w:pPr>
        <w:ind w:left="1440"/>
        <w:rPr>
          <w:rFonts w:ascii="Times New Roman" w:hAnsi="Times New Roman" w:cs="Times New Roman"/>
          <w:lang w:val="en-US"/>
        </w:rPr>
      </w:pPr>
      <w:r w:rsidRPr="00FD5424">
        <w:rPr>
          <w:rFonts w:ascii="Times New Roman" w:hAnsi="Times New Roman" w:cs="Times New Roman"/>
          <w:lang w:val="en-US"/>
        </w:rPr>
        <w:t xml:space="preserve">The notion of F5 Item is only relevant with regard to the production process, from a bibliographic point of view. Cultural heritage institutions' holdings are a distinct notion: a holding certainly can be equal to an instance of F5 Item, but it also can be either "bigger" than one (e.g., when two instances of F5 Item are bound together (in the case of printed books), or physically united in any other way, or when an instance of F5 Item is enhanced through the addition of manuscript annotations, or any material that was not intended by the publisher, such as press clippings, dried flowers, etc.), or "smaller" than one (e.g., when a one-volume instance of F5 Item (in the case of printed books) is interleaved and rebound as two volumes, or when pages were torn away from it, </w:t>
      </w:r>
      <w:r w:rsidRPr="00FD5424">
        <w:rPr>
          <w:rFonts w:ascii="Times New Roman" w:hAnsi="Times New Roman" w:cs="Times New Roman"/>
          <w:lang w:val="en-US"/>
        </w:rPr>
        <w:lastRenderedPageBreak/>
        <w:t xml:space="preserve">or when one CD from a two-CD set is missing, etc.). From an operational point of view, cultural heritage institutions do </w:t>
      </w:r>
      <w:r w:rsidRPr="00FD5424">
        <w:rPr>
          <w:rFonts w:ascii="Times New Roman" w:hAnsi="Times New Roman" w:cs="Times New Roman"/>
          <w:i/>
          <w:iCs/>
          <w:lang w:val="en-US"/>
        </w:rPr>
        <w:t>not</w:t>
      </w:r>
      <w:r w:rsidRPr="00FD5424">
        <w:rPr>
          <w:rFonts w:ascii="Times New Roman" w:hAnsi="Times New Roman" w:cs="Times New Roman"/>
          <w:lang w:val="en-US"/>
        </w:rPr>
        <w:t xml:space="preserve"> deal with instances of F5 Item, but with storage units. However, it was not deemed necessary to declare an additional class for the notion of Storage Unit. Storage units can be easily accounted for through the E19 Physical Object class from CIDOC CRM, and the relationships between storage units and instances of F5 Item through the </w:t>
      </w:r>
      <w:r w:rsidRPr="00FD5424">
        <w:rPr>
          <w:rFonts w:ascii="Times New Roman" w:hAnsi="Times New Roman" w:cs="Times New Roman"/>
          <w:i/>
          <w:iCs/>
          <w:lang w:val="en-US"/>
        </w:rPr>
        <w:t>P46 is composed of (forms part of)</w:t>
      </w:r>
      <w:r w:rsidRPr="00FD5424">
        <w:rPr>
          <w:rFonts w:ascii="Times New Roman" w:hAnsi="Times New Roman" w:cs="Times New Roman"/>
          <w:lang w:val="en-US"/>
        </w:rPr>
        <w:t xml:space="preserve"> property from CIDOC CRM. If needed, an instance of E19 Physical Object can be typed as a storage unit through the </w:t>
      </w:r>
      <w:r w:rsidRPr="00FD5424">
        <w:rPr>
          <w:rFonts w:ascii="Times New Roman" w:hAnsi="Times New Roman" w:cs="Times New Roman"/>
          <w:i/>
          <w:iCs/>
          <w:lang w:val="en-US"/>
        </w:rPr>
        <w:t>P2 has type (is type of)</w:t>
      </w:r>
      <w:r w:rsidRPr="00FD5424">
        <w:rPr>
          <w:rFonts w:ascii="Times New Roman" w:hAnsi="Times New Roman" w:cs="Times New Roman"/>
          <w:lang w:val="en-US"/>
        </w:rPr>
        <w:t xml:space="preserve"> property.</w:t>
      </w:r>
    </w:p>
    <w:p w14:paraId="78307B09"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Examples:</w:t>
      </w:r>
      <w:r w:rsidRPr="00FD5424">
        <w:rPr>
          <w:rFonts w:ascii="Times New Roman" w:hAnsi="Times New Roman" w:cs="Times New Roman"/>
          <w:lang w:val="en-US"/>
        </w:rPr>
        <w:tab/>
      </w:r>
    </w:p>
    <w:p w14:paraId="76ED03D3" w14:textId="77777777" w:rsidR="00DD587E" w:rsidRPr="00FD5424" w:rsidRDefault="00DD587E" w:rsidP="00DD587E">
      <w:pPr>
        <w:numPr>
          <w:ilvl w:val="0"/>
          <w:numId w:val="2"/>
        </w:numPr>
        <w:rPr>
          <w:rFonts w:ascii="Times New Roman" w:hAnsi="Times New Roman" w:cs="Times New Roman"/>
          <w:lang w:val="en-US"/>
        </w:rPr>
      </w:pPr>
      <w:r w:rsidRPr="00FD5424">
        <w:rPr>
          <w:rFonts w:ascii="Times New Roman" w:hAnsi="Times New Roman" w:cs="Times New Roman"/>
          <w:lang w:val="en-US"/>
        </w:rPr>
        <w:t xml:space="preserve">John Smith's copy of Charles Dickens's </w:t>
      </w:r>
      <w:r w:rsidRPr="00FD5424">
        <w:rPr>
          <w:rFonts w:ascii="Times New Roman" w:hAnsi="Times New Roman" w:cs="Times New Roman"/>
          <w:i/>
          <w:iCs/>
          <w:lang w:val="en-US"/>
        </w:rPr>
        <w:t>The</w:t>
      </w:r>
      <w:r w:rsidRPr="00FD5424">
        <w:rPr>
          <w:rFonts w:ascii="Times New Roman" w:hAnsi="Times New Roman" w:cs="Times New Roman"/>
          <w:lang w:val="en-US"/>
        </w:rPr>
        <w:t xml:space="preserve"> </w:t>
      </w:r>
      <w:r w:rsidRPr="00FD5424">
        <w:rPr>
          <w:rFonts w:ascii="Times New Roman" w:hAnsi="Times New Roman" w:cs="Times New Roman"/>
          <w:i/>
          <w:iCs/>
          <w:lang w:val="en-US"/>
        </w:rPr>
        <w:t>Pickwick Papers</w:t>
      </w:r>
      <w:r w:rsidRPr="00FD5424">
        <w:rPr>
          <w:rFonts w:ascii="Times New Roman" w:hAnsi="Times New Roman" w:cs="Times New Roman"/>
          <w:lang w:val="en-US"/>
        </w:rPr>
        <w:t xml:space="preserve"> published in 1986 by the Oxford Clarendon Press, ISBN 0-19-812631-X (F5, E22)</w:t>
      </w:r>
    </w:p>
    <w:p w14:paraId="7DB8A3B8" w14:textId="77777777" w:rsidR="00DD587E" w:rsidRPr="00FD5424" w:rsidRDefault="00DD587E" w:rsidP="00DD587E">
      <w:pPr>
        <w:numPr>
          <w:ilvl w:val="0"/>
          <w:numId w:val="2"/>
        </w:numPr>
        <w:rPr>
          <w:rFonts w:ascii="Times New Roman" w:hAnsi="Times New Roman" w:cs="Times New Roman"/>
          <w:lang w:val="en-US"/>
        </w:rPr>
      </w:pPr>
      <w:r w:rsidRPr="00FD5424">
        <w:rPr>
          <w:rFonts w:ascii="Times New Roman" w:hAnsi="Times New Roman" w:cs="Times New Roman"/>
          <w:lang w:val="en-US"/>
        </w:rPr>
        <w:t xml:space="preserve">The exemplar of Samuel Beckett's </w:t>
      </w:r>
      <w:r w:rsidRPr="00FD5424">
        <w:rPr>
          <w:rFonts w:ascii="Times New Roman" w:hAnsi="Times New Roman" w:cs="Times New Roman"/>
          <w:i/>
          <w:iCs/>
          <w:lang w:val="en-US"/>
        </w:rPr>
        <w:t>Waiting for Godot</w:t>
      </w:r>
      <w:r w:rsidRPr="00FD5424">
        <w:rPr>
          <w:rFonts w:ascii="Times New Roman" w:hAnsi="Times New Roman" w:cs="Times New Roman"/>
          <w:lang w:val="en-US"/>
        </w:rPr>
        <w:t xml:space="preserve"> published in 1956 by Faber and Faber that was once possessed by Edward Gordon Craig [who pasted a press clipping on it, so that the storage unit currently held by the National Library of France and identified by shelfmark '8-EGC-2044' consists of both this instance of F5 Item and the press clipping pasted by its former owner] (F5, E22)</w:t>
      </w:r>
    </w:p>
    <w:p w14:paraId="2F6DC39B" w14:textId="77777777" w:rsidR="00DD587E" w:rsidRPr="00FD5424" w:rsidRDefault="00DD587E" w:rsidP="00DD587E">
      <w:pPr>
        <w:numPr>
          <w:ilvl w:val="0"/>
          <w:numId w:val="2"/>
        </w:numPr>
        <w:rPr>
          <w:rFonts w:ascii="Times New Roman" w:hAnsi="Times New Roman" w:cs="Times New Roman"/>
          <w:lang w:val="en-US"/>
        </w:rPr>
      </w:pPr>
      <w:r w:rsidRPr="00FD5424">
        <w:rPr>
          <w:rFonts w:ascii="Times New Roman" w:hAnsi="Times New Roman" w:cs="Times New Roman"/>
          <w:lang w:val="en-US"/>
        </w:rPr>
        <w:t xml:space="preserve">The exemplar currently held by the Library of Congress, and identified by call number 'M3.3.H13 J4 1752 Case', of George Frideric Handel's </w:t>
      </w:r>
      <w:r w:rsidRPr="00FD5424">
        <w:rPr>
          <w:rFonts w:ascii="Times New Roman" w:hAnsi="Times New Roman" w:cs="Times New Roman"/>
          <w:i/>
          <w:iCs/>
          <w:lang w:val="en-US"/>
        </w:rPr>
        <w:t>The Choice of Hercules</w:t>
      </w:r>
      <w:r w:rsidRPr="00FD5424">
        <w:rPr>
          <w:rFonts w:ascii="Times New Roman" w:hAnsi="Times New Roman" w:cs="Times New Roman"/>
          <w:lang w:val="en-US"/>
        </w:rPr>
        <w:t xml:space="preserve"> published in London by J. Walsh around 1751  [</w:t>
      </w:r>
      <w:r w:rsidRPr="00FD5424">
        <w:rPr>
          <w:rFonts w:ascii="Times New Roman" w:hAnsi="Times New Roman" w:cs="Times New Roman"/>
          <w:i/>
          <w:iCs/>
          <w:lang w:val="en-US"/>
        </w:rPr>
        <w:t>Note:</w:t>
      </w:r>
      <w:r w:rsidRPr="00FD5424">
        <w:rPr>
          <w:rFonts w:ascii="Times New Roman" w:hAnsi="Times New Roman" w:cs="Times New Roman"/>
          <w:lang w:val="en-US"/>
        </w:rPr>
        <w:t xml:space="preserve"> this exemplar is bound with an exemplar of </w:t>
      </w:r>
      <w:r w:rsidRPr="00FD5424">
        <w:rPr>
          <w:rFonts w:ascii="Times New Roman" w:hAnsi="Times New Roman" w:cs="Times New Roman"/>
          <w:i/>
          <w:iCs/>
          <w:lang w:val="en-US"/>
        </w:rPr>
        <w:t>Jephtha,</w:t>
      </w:r>
      <w:r w:rsidRPr="00FD5424">
        <w:rPr>
          <w:rFonts w:ascii="Times New Roman" w:hAnsi="Times New Roman" w:cs="Times New Roman"/>
          <w:lang w:val="en-US"/>
        </w:rPr>
        <w:t xml:space="preserve"> by the same composer, published in London by J. Walsh in 1752; these two distinct instances of F5 Item therefore make up a single storage unit, i.e., they both </w:t>
      </w:r>
      <w:r w:rsidRPr="00FD5424">
        <w:rPr>
          <w:rFonts w:ascii="Times New Roman" w:hAnsi="Times New Roman" w:cs="Times New Roman"/>
          <w:i/>
          <w:iCs/>
          <w:lang w:val="en-US"/>
        </w:rPr>
        <w:t>P146i forms part of</w:t>
      </w:r>
      <w:r w:rsidRPr="00FD5424">
        <w:rPr>
          <w:rFonts w:ascii="Times New Roman" w:hAnsi="Times New Roman" w:cs="Times New Roman"/>
          <w:lang w:val="en-US"/>
        </w:rPr>
        <w:t xml:space="preserve"> the same instance of E19 Physical Object]</w:t>
      </w:r>
    </w:p>
    <w:p w14:paraId="20F5CB3B" w14:textId="77777777" w:rsidR="00DD587E" w:rsidRPr="00FD5424" w:rsidRDefault="00DD587E" w:rsidP="00DD587E">
      <w:pPr>
        <w:numPr>
          <w:ilvl w:val="0"/>
          <w:numId w:val="2"/>
        </w:numPr>
        <w:rPr>
          <w:rFonts w:ascii="Times New Roman" w:hAnsi="Times New Roman" w:cs="Times New Roman"/>
          <w:lang w:val="en-US"/>
        </w:rPr>
      </w:pPr>
      <w:r w:rsidRPr="00FD5424">
        <w:rPr>
          <w:rFonts w:ascii="Times New Roman" w:hAnsi="Times New Roman" w:cs="Times New Roman"/>
          <w:lang w:val="en-US"/>
        </w:rPr>
        <w:t xml:space="preserve">the physical features created on my PC's hard drive on 2021-06-10 when I clicked on the link </w:t>
      </w:r>
      <w:hyperlink r:id="rId5" w:history="1">
        <w:r w:rsidRPr="00FD5424">
          <w:rPr>
            <w:rFonts w:ascii="Times New Roman" w:hAnsi="Times New Roman" w:cs="Times New Roman"/>
            <w:color w:val="0563C1" w:themeColor="hyperlink"/>
            <w:u w:val="single"/>
            <w:lang w:val="en-US"/>
          </w:rPr>
          <w:t>https://doi.org/10.26225/FDZH-X261</w:t>
        </w:r>
      </w:hyperlink>
      <w:r w:rsidRPr="00FD5424">
        <w:rPr>
          <w:rFonts w:ascii="Times New Roman" w:hAnsi="Times New Roman" w:cs="Times New Roman"/>
          <w:lang w:val="en-US"/>
        </w:rPr>
        <w:t xml:space="preserve"> and downloaded from the server of the website </w:t>
      </w:r>
      <w:hyperlink r:id="rId6" w:history="1">
        <w:r w:rsidRPr="00FD5424">
          <w:rPr>
            <w:rFonts w:ascii="Times New Roman" w:hAnsi="Times New Roman" w:cs="Times New Roman"/>
            <w:color w:val="0563C1" w:themeColor="hyperlink"/>
            <w:u w:val="single"/>
            <w:lang w:val="en-US"/>
          </w:rPr>
          <w:t>www.cidoc-crm.org</w:t>
        </w:r>
      </w:hyperlink>
      <w:r w:rsidRPr="00FD5424">
        <w:rPr>
          <w:lang w:val="en-US"/>
        </w:rPr>
        <w:t xml:space="preserve"> a </w:t>
      </w:r>
      <w:r w:rsidRPr="00FD5424">
        <w:rPr>
          <w:rFonts w:ascii="Times New Roman" w:hAnsi="Times New Roman" w:cs="Times New Roman"/>
          <w:lang w:val="en-US"/>
        </w:rPr>
        <w:t>reproduction of the electronic file named “cidoc_crm_v.7.1.1.pdf” containing the text of version 7.1.1 of the “Definition of the CIDOC Conceptual Reference Model” published April 2021 (F5, E25)</w:t>
      </w:r>
    </w:p>
    <w:p w14:paraId="35C9E5A3" w14:textId="10825993" w:rsidR="00FD5424" w:rsidRPr="00FD5424" w:rsidRDefault="00DD587E" w:rsidP="00DD587E">
      <w:pPr>
        <w:suppressAutoHyphens w:val="0"/>
        <w:spacing w:after="160" w:line="259" w:lineRule="auto"/>
        <w:rPr>
          <w:lang w:val="en-US"/>
        </w:rPr>
      </w:pPr>
      <w:r w:rsidRPr="00FD5424">
        <w:rPr>
          <w:rFonts w:ascii="Times New Roman" w:hAnsi="Times New Roman" w:cs="Times New Roman"/>
          <w:lang w:val="en-US"/>
        </w:rPr>
        <w:t>Properties:</w:t>
      </w:r>
      <w:r w:rsidRPr="00FD5424">
        <w:rPr>
          <w:rFonts w:ascii="Times New Roman" w:hAnsi="Times New Roman" w:cs="Times New Roman"/>
          <w:lang w:val="en-US"/>
        </w:rPr>
        <w:tab/>
      </w:r>
      <w:hyperlink r:id="rId7" w:anchor="heading=h.gjdgxs" w:history="1">
        <w:r w:rsidRPr="00FD5424">
          <w:rPr>
            <w:rFonts w:ascii="Times New Roman" w:hAnsi="Times New Roman" w:cs="Times New Roman"/>
            <w:color w:val="0563C1" w:themeColor="hyperlink"/>
            <w:u w:val="single"/>
            <w:lang w:val="en-US"/>
          </w:rPr>
          <w:t>R7</w:t>
        </w:r>
      </w:hyperlink>
      <w:r w:rsidRPr="00FD5424">
        <w:rPr>
          <w:rFonts w:ascii="Times New Roman" w:hAnsi="Times New Roman" w:cs="Times New Roman"/>
          <w:lang w:val="en-US"/>
        </w:rPr>
        <w:t xml:space="preserve"> is materialization of (is materialized in): </w:t>
      </w:r>
      <w:hyperlink r:id="rId8" w:anchor="heading=h.30j0zll" w:history="1">
        <w:r w:rsidRPr="00FD5424">
          <w:rPr>
            <w:rFonts w:ascii="Times New Roman" w:hAnsi="Times New Roman" w:cs="Times New Roman"/>
            <w:color w:val="0563C1" w:themeColor="hyperlink"/>
            <w:u w:val="single"/>
            <w:lang w:val="en-US"/>
          </w:rPr>
          <w:t>F3</w:t>
        </w:r>
      </w:hyperlink>
      <w:r w:rsidRPr="00FD5424">
        <w:rPr>
          <w:rFonts w:ascii="Times New Roman" w:hAnsi="Times New Roman" w:cs="Times New Roman"/>
          <w:lang w:val="en-US"/>
        </w:rPr>
        <w:t xml:space="preserve"> Manifestation</w:t>
      </w:r>
    </w:p>
    <w:p w14:paraId="1D7B6BD8" w14:textId="77777777" w:rsidR="00FD5424" w:rsidRPr="00FD5424" w:rsidRDefault="00FD5424" w:rsidP="00FD5424">
      <w:pPr>
        <w:pStyle w:val="Heading2"/>
        <w:rPr>
          <w:lang w:val="en-US"/>
        </w:rPr>
      </w:pPr>
      <w:r w:rsidRPr="00FD5424">
        <w:rPr>
          <w:lang w:val="en-US"/>
        </w:rPr>
        <w:t>F30 Manifestation Creation</w:t>
      </w:r>
    </w:p>
    <w:p w14:paraId="22E4F7D7" w14:textId="3BFC47BF" w:rsidR="00FD5424" w:rsidRPr="00FD5424" w:rsidRDefault="00FD5424" w:rsidP="00FD5424">
      <w:pPr>
        <w:rPr>
          <w:lang w:val="en-US"/>
        </w:rPr>
      </w:pPr>
      <w:r w:rsidRPr="00FD5424">
        <w:rPr>
          <w:lang w:val="en-US"/>
        </w:rPr>
        <w:t xml:space="preserve">The scope note had been reformulated but the outcome didn’t read well. PR provided another formulation. Details </w:t>
      </w:r>
      <w:hyperlink w:anchor="_F30_Manifestation_Creation_1" w:history="1">
        <w:r w:rsidR="00DD587E">
          <w:rPr>
            <w:color w:val="0563C1" w:themeColor="hyperlink"/>
            <w:u w:val="single"/>
            <w:lang w:val="en-US"/>
          </w:rPr>
          <w:t>below</w:t>
        </w:r>
      </w:hyperlink>
      <w:r w:rsidRPr="00FD5424">
        <w:rPr>
          <w:lang w:val="en-US"/>
        </w:rPr>
        <w:t>.</w:t>
      </w:r>
    </w:p>
    <w:p w14:paraId="4504B9B0" w14:textId="374D80C8" w:rsidR="00FD5424" w:rsidRDefault="00FD5424" w:rsidP="00FD5424">
      <w:pPr>
        <w:suppressAutoHyphens w:val="0"/>
        <w:spacing w:after="160" w:line="259" w:lineRule="auto"/>
        <w:rPr>
          <w:lang w:val="en-US"/>
        </w:rPr>
      </w:pPr>
      <w:r w:rsidRPr="00FD5424">
        <w:rPr>
          <w:b/>
          <w:bCs/>
          <w:lang w:val="en-US"/>
        </w:rPr>
        <w:t>Vote</w:t>
      </w:r>
      <w:r w:rsidRPr="00FD5424">
        <w:rPr>
          <w:lang w:val="en-US"/>
        </w:rPr>
        <w:t xml:space="preserve"> to accept the proposed changes in the definition of F30 Manifestation Creation</w:t>
      </w:r>
      <w:r w:rsidRPr="00FD5424">
        <w:rPr>
          <w:lang w:val="en-US"/>
        </w:rPr>
        <w:br/>
        <w:t>In favor: 10</w:t>
      </w:r>
      <w:r w:rsidRPr="00FD5424">
        <w:rPr>
          <w:lang w:val="en-US"/>
        </w:rPr>
        <w:br/>
        <w:t>Against: none</w:t>
      </w:r>
      <w:r w:rsidRPr="00FD5424">
        <w:rPr>
          <w:lang w:val="en-US"/>
        </w:rPr>
        <w:br/>
      </w:r>
      <w:r w:rsidRPr="00FD5424">
        <w:rPr>
          <w:b/>
          <w:bCs/>
          <w:lang w:val="en-US"/>
        </w:rPr>
        <w:t>Outcome</w:t>
      </w:r>
      <w:r w:rsidRPr="00FD5424">
        <w:rPr>
          <w:lang w:val="en-US"/>
        </w:rPr>
        <w:t>: passed</w:t>
      </w:r>
    </w:p>
    <w:p w14:paraId="7941D7A6" w14:textId="77777777" w:rsidR="00DD587E" w:rsidRPr="00FD5424" w:rsidRDefault="00DD587E" w:rsidP="00DD587E">
      <w:pPr>
        <w:pStyle w:val="Heading3"/>
        <w:rPr>
          <w:lang w:val="en-US"/>
        </w:rPr>
      </w:pPr>
      <w:bookmarkStart w:id="3" w:name="_F30_Manifestation_Creation_1"/>
      <w:bookmarkEnd w:id="3"/>
      <w:r w:rsidRPr="00FD5424">
        <w:rPr>
          <w:lang w:val="en-US"/>
        </w:rPr>
        <w:t>F30 Manifestation Creation</w:t>
      </w:r>
    </w:p>
    <w:p w14:paraId="6DFAF74F"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Subclass of:</w:t>
      </w:r>
      <w:r w:rsidRPr="00FD5424">
        <w:rPr>
          <w:rFonts w:ascii="Times New Roman" w:hAnsi="Times New Roman" w:cs="Times New Roman"/>
          <w:lang w:val="en-US"/>
        </w:rPr>
        <w:tab/>
      </w:r>
      <w:hyperlink r:id="rId9" w:anchor="heading=h.gjdgxs" w:history="1">
        <w:r w:rsidRPr="00FD5424">
          <w:rPr>
            <w:rFonts w:ascii="Times New Roman" w:hAnsi="Times New Roman" w:cs="Times New Roman"/>
            <w:color w:val="0563C1" w:themeColor="hyperlink"/>
            <w:u w:val="single"/>
            <w:lang w:val="en-US"/>
          </w:rPr>
          <w:t>F28</w:t>
        </w:r>
      </w:hyperlink>
      <w:r w:rsidRPr="00FD5424">
        <w:rPr>
          <w:rFonts w:ascii="Times New Roman" w:hAnsi="Times New Roman" w:cs="Times New Roman"/>
          <w:lang w:val="en-US"/>
        </w:rPr>
        <w:t xml:space="preserve"> Expression Creation</w:t>
      </w:r>
    </w:p>
    <w:p w14:paraId="4FEE8337"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Superclass of:</w:t>
      </w:r>
      <w:r w:rsidRPr="00FD5424">
        <w:rPr>
          <w:rFonts w:ascii="Times New Roman" w:hAnsi="Times New Roman" w:cs="Times New Roman"/>
          <w:lang w:val="en-US"/>
        </w:rPr>
        <w:tab/>
        <w:t>F33 Reproduction Event</w:t>
      </w:r>
    </w:p>
    <w:p w14:paraId="0C2CB604" w14:textId="77777777" w:rsidR="00DD587E" w:rsidRPr="00FD5424" w:rsidRDefault="00DD587E" w:rsidP="00DD587E">
      <w:pPr>
        <w:ind w:left="1440" w:hanging="1440"/>
        <w:rPr>
          <w:rFonts w:ascii="Times New Roman" w:hAnsi="Times New Roman" w:cs="Times New Roman"/>
          <w:lang w:val="en-US"/>
        </w:rPr>
      </w:pPr>
      <w:r w:rsidRPr="00FD5424">
        <w:rPr>
          <w:rFonts w:ascii="Times New Roman" w:hAnsi="Times New Roman" w:cs="Times New Roman"/>
          <w:lang w:val="en-US"/>
        </w:rPr>
        <w:t>Scope note:</w:t>
      </w:r>
      <w:r w:rsidRPr="00FD5424">
        <w:rPr>
          <w:rFonts w:ascii="Times New Roman" w:hAnsi="Times New Roman" w:cs="Times New Roman"/>
          <w:lang w:val="en-US"/>
        </w:rPr>
        <w:tab/>
        <w:t>This class comprises the activities of selecting, arranging and presenting one or more instances of F2 Expression on a carrier or other persistent presentation means with the purpose of communicating it to some public. It includes the specification of the presentation as to sensory impression (such as visual appearance or audio rendition).</w:t>
      </w:r>
    </w:p>
    <w:p w14:paraId="2A4F738C" w14:textId="77777777" w:rsidR="00DD587E" w:rsidRPr="00FD5424" w:rsidRDefault="00DD587E" w:rsidP="00DD587E">
      <w:pPr>
        <w:ind w:left="1440" w:hanging="1440"/>
        <w:rPr>
          <w:rFonts w:ascii="Times New Roman" w:hAnsi="Times New Roman" w:cs="Times New Roman"/>
          <w:lang w:val="en-US"/>
        </w:rPr>
      </w:pPr>
      <w:r w:rsidRPr="00FD5424">
        <w:rPr>
          <w:rFonts w:ascii="Times New Roman" w:hAnsi="Times New Roman" w:cs="Times New Roman"/>
          <w:lang w:val="en-US"/>
        </w:rPr>
        <w:lastRenderedPageBreak/>
        <w:t>Examples:</w:t>
      </w:r>
      <w:r w:rsidRPr="00FD5424">
        <w:rPr>
          <w:rFonts w:ascii="Times New Roman" w:hAnsi="Times New Roman" w:cs="Times New Roman"/>
          <w:lang w:val="en-US"/>
        </w:rPr>
        <w:tab/>
        <w:t>Establishing in 1972 the layout, features, and prototype for the publication of ‘The complete poems of Stephen Crane, edited with an introduction by Joseph Katz’ (ISBN ‘0-8014-9130-4’), which served for a second print run in 1978</w:t>
      </w:r>
    </w:p>
    <w:p w14:paraId="45108F43" w14:textId="77777777" w:rsidR="00DD587E" w:rsidRPr="00FD5424" w:rsidRDefault="00DD587E" w:rsidP="00DD587E">
      <w:pPr>
        <w:ind w:left="1440"/>
        <w:rPr>
          <w:rFonts w:ascii="Times New Roman" w:hAnsi="Times New Roman" w:cs="Times New Roman"/>
          <w:lang w:val="en-US"/>
        </w:rPr>
      </w:pPr>
      <w:r w:rsidRPr="00FD5424">
        <w:rPr>
          <w:rFonts w:ascii="Times New Roman" w:hAnsi="Times New Roman" w:cs="Times New Roman"/>
          <w:lang w:val="en-US"/>
        </w:rPr>
        <w:t>Making the article by Allen Renear, Christopher Phillippe, Pat Lawton, and David Dubin, entitled ‘An XML document corresponds to which FRBR Group 1 entity?’ available online at &lt;</w:t>
      </w:r>
      <w:hyperlink r:id="rId10" w:history="1">
        <w:r w:rsidRPr="00FD5424">
          <w:rPr>
            <w:rFonts w:ascii="Times New Roman" w:hAnsi="Times New Roman" w:cs="Times New Roman"/>
            <w:color w:val="0563C1" w:themeColor="hyperlink"/>
            <w:u w:val="single"/>
            <w:lang w:val="en-US"/>
          </w:rPr>
          <w:t>http://conferences.idealliance.org/extreme/html/2003/Lawton01/EML2003Lawton01.html</w:t>
        </w:r>
      </w:hyperlink>
      <w:r w:rsidRPr="00FD5424">
        <w:rPr>
          <w:rFonts w:ascii="Times New Roman" w:hAnsi="Times New Roman" w:cs="Times New Roman"/>
          <w:lang w:val="en-US"/>
        </w:rPr>
        <w:t>&gt;</w:t>
      </w:r>
    </w:p>
    <w:p w14:paraId="2754C92B"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Properties</w:t>
      </w:r>
      <w:r w:rsidRPr="00FD5424">
        <w:rPr>
          <w:rFonts w:ascii="Times New Roman" w:hAnsi="Times New Roman" w:cs="Times New Roman"/>
          <w:b/>
          <w:bCs/>
          <w:lang w:val="en-US"/>
        </w:rPr>
        <w:t>:</w:t>
      </w:r>
      <w:r w:rsidRPr="00FD5424">
        <w:rPr>
          <w:rFonts w:ascii="Times New Roman" w:hAnsi="Times New Roman" w:cs="Times New Roman"/>
          <w:b/>
          <w:bCs/>
          <w:lang w:val="en-US"/>
        </w:rPr>
        <w:tab/>
      </w:r>
      <w:hyperlink r:id="rId11" w:anchor="heading=h.30j0zll" w:history="1">
        <w:r w:rsidRPr="00FD5424">
          <w:rPr>
            <w:rFonts w:ascii="Times New Roman" w:hAnsi="Times New Roman" w:cs="Times New Roman"/>
            <w:color w:val="0563C1" w:themeColor="hyperlink"/>
            <w:u w:val="single"/>
            <w:lang w:val="en-US"/>
          </w:rPr>
          <w:t>R24</w:t>
        </w:r>
      </w:hyperlink>
      <w:r w:rsidRPr="00FD5424">
        <w:rPr>
          <w:rFonts w:ascii="Times New Roman" w:hAnsi="Times New Roman" w:cs="Times New Roman"/>
          <w:lang w:val="en-US"/>
        </w:rPr>
        <w:t xml:space="preserve"> created (was created through): </w:t>
      </w:r>
      <w:hyperlink r:id="rId12" w:anchor="heading=h.1fob9te" w:history="1">
        <w:r w:rsidRPr="00FD5424">
          <w:rPr>
            <w:rFonts w:ascii="Times New Roman" w:hAnsi="Times New Roman" w:cs="Times New Roman"/>
            <w:color w:val="0563C1" w:themeColor="hyperlink"/>
            <w:u w:val="single"/>
            <w:lang w:val="en-US"/>
          </w:rPr>
          <w:t>F3</w:t>
        </w:r>
      </w:hyperlink>
      <w:r w:rsidRPr="00FD5424">
        <w:rPr>
          <w:rFonts w:ascii="Times New Roman" w:hAnsi="Times New Roman" w:cs="Times New Roman"/>
          <w:lang w:val="en-US"/>
        </w:rPr>
        <w:t xml:space="preserve"> Manifestation</w:t>
      </w:r>
    </w:p>
    <w:p w14:paraId="3352598A" w14:textId="77777777" w:rsidR="00DD587E" w:rsidRPr="00FD5424" w:rsidRDefault="00DD587E" w:rsidP="00FD5424">
      <w:pPr>
        <w:suppressAutoHyphens w:val="0"/>
        <w:spacing w:after="160" w:line="259" w:lineRule="auto"/>
        <w:rPr>
          <w:lang w:val="en-US"/>
        </w:rPr>
      </w:pPr>
    </w:p>
    <w:p w14:paraId="615472D2" w14:textId="77777777" w:rsidR="00FD5424" w:rsidRPr="00FD5424" w:rsidRDefault="00FD5424" w:rsidP="00FD5424">
      <w:pPr>
        <w:pStyle w:val="Heading2"/>
        <w:rPr>
          <w:lang w:val="en-US"/>
        </w:rPr>
      </w:pPr>
      <w:r w:rsidRPr="00FD5424">
        <w:rPr>
          <w:lang w:val="en-US"/>
        </w:rPr>
        <w:t>R4 embodies (is embodied in)</w:t>
      </w:r>
    </w:p>
    <w:p w14:paraId="7FC5D2FA" w14:textId="77777777" w:rsidR="00FD5424" w:rsidRPr="00FD5424" w:rsidRDefault="00FD5424" w:rsidP="00FD5424">
      <w:pPr>
        <w:rPr>
          <w:lang w:val="en-US"/>
        </w:rPr>
      </w:pPr>
      <w:r w:rsidRPr="00FD5424">
        <w:rPr>
          <w:lang w:val="en-US"/>
        </w:rPr>
        <w:t xml:space="preserve">The scope note needed some reformulation, plus the quantification is not right (many-to-many with no constraints). </w:t>
      </w:r>
    </w:p>
    <w:p w14:paraId="633BC837" w14:textId="77777777" w:rsidR="00FD5424" w:rsidRPr="00FD5424" w:rsidRDefault="00FD5424" w:rsidP="00FD5424">
      <w:pPr>
        <w:rPr>
          <w:lang w:val="en-US"/>
        </w:rPr>
      </w:pPr>
      <w:r w:rsidRPr="00FD5424">
        <w:rPr>
          <w:b/>
          <w:bCs/>
          <w:lang w:val="en-US"/>
        </w:rPr>
        <w:t>Discussion</w:t>
      </w:r>
      <w:r w:rsidRPr="00FD5424">
        <w:rPr>
          <w:lang w:val="en-US"/>
        </w:rPr>
        <w:t xml:space="preserve">: </w:t>
      </w:r>
    </w:p>
    <w:p w14:paraId="077CC884" w14:textId="77777777" w:rsidR="00FD5424" w:rsidRPr="00FD5424" w:rsidRDefault="00FD5424" w:rsidP="00FD5424">
      <w:pPr>
        <w:rPr>
          <w:lang w:val="en-US"/>
        </w:rPr>
      </w:pPr>
      <w:r w:rsidRPr="00FD5424">
        <w:rPr>
          <w:lang w:val="en-US"/>
        </w:rPr>
        <w:t xml:space="preserve">PR: We cannot have an Expression without a Manifestation. We may not be able to find any items of that Manifestation, but there must have been a Manifestation of that Expression at one time, or it wouldn’t have been possible to talk about an Expression in the first place. </w:t>
      </w:r>
    </w:p>
    <w:p w14:paraId="59251DF5" w14:textId="77777777" w:rsidR="00FD5424" w:rsidRPr="00FD5424" w:rsidRDefault="00FD5424" w:rsidP="00FD5424">
      <w:pPr>
        <w:rPr>
          <w:lang w:val="en-US"/>
        </w:rPr>
      </w:pPr>
      <w:r w:rsidRPr="00FD5424">
        <w:rPr>
          <w:lang w:val="en-US"/>
        </w:rPr>
        <w:t xml:space="preserve">TA: Which begs the question if the definition of F2 Expression should be changed, because as it now stands, an instance of F2 can exist in human memory too –meaning that the quantification is fine as it is. Submitted publications that have not been accepted, do not correspond to instances of F3 Manifestations. </w:t>
      </w:r>
    </w:p>
    <w:p w14:paraId="7FFB2E12" w14:textId="2B0CB39A" w:rsidR="00FD5424" w:rsidRPr="00FD5424" w:rsidRDefault="00FD5424" w:rsidP="00FD5424">
      <w:pPr>
        <w:rPr>
          <w:lang w:val="en-US"/>
        </w:rPr>
      </w:pPr>
      <w:r w:rsidRPr="00FD5424">
        <w:rPr>
          <w:b/>
          <w:bCs/>
          <w:lang w:val="en-US"/>
        </w:rPr>
        <w:t>Proposal</w:t>
      </w:r>
      <w:r w:rsidRPr="00FD5424">
        <w:rPr>
          <w:lang w:val="en-US"/>
        </w:rPr>
        <w:t xml:space="preserve">: Only alter the domain quantification of the property, as an instance of F3 Manifestation must embody at least one instance of F2 Expression, and check whether the scope-note of F2 Expression needs to be reworked. Also, review and accept the wordsmithing in the scope-note. See </w:t>
      </w:r>
      <w:hyperlink w:anchor="_F30_Manifestation_Creation" w:history="1">
        <w:r w:rsidR="00DD587E" w:rsidRPr="00DD587E">
          <w:rPr>
            <w:rStyle w:val="Hyperlink"/>
            <w:lang w:val="en-US"/>
          </w:rPr>
          <w:t>below</w:t>
        </w:r>
      </w:hyperlink>
      <w:r w:rsidR="00DD587E">
        <w:rPr>
          <w:lang w:val="en-US"/>
        </w:rPr>
        <w:t xml:space="preserve"> </w:t>
      </w:r>
      <w:r w:rsidRPr="00FD5424">
        <w:rPr>
          <w:lang w:val="en-US"/>
        </w:rPr>
        <w:t>for the details.</w:t>
      </w:r>
    </w:p>
    <w:p w14:paraId="62236239" w14:textId="20D639D2" w:rsidR="00FD5424" w:rsidRDefault="00FD5424" w:rsidP="00FD5424">
      <w:pPr>
        <w:suppressAutoHyphens w:val="0"/>
        <w:spacing w:after="160" w:line="259" w:lineRule="auto"/>
        <w:rPr>
          <w:lang w:val="en-US"/>
        </w:rPr>
      </w:pPr>
      <w:r w:rsidRPr="00FD5424">
        <w:rPr>
          <w:b/>
          <w:bCs/>
          <w:lang w:val="en-US"/>
        </w:rPr>
        <w:t>Vote</w:t>
      </w:r>
      <w:r w:rsidRPr="00FD5424">
        <w:rPr>
          <w:lang w:val="en-US"/>
        </w:rPr>
        <w:t xml:space="preserve"> to accept the proposed changes in the definition of R4 embodies</w:t>
      </w:r>
      <w:r w:rsidRPr="00FD5424">
        <w:rPr>
          <w:lang w:val="en-US"/>
        </w:rPr>
        <w:br/>
        <w:t>In favor: 11</w:t>
      </w:r>
      <w:r w:rsidRPr="00FD5424">
        <w:rPr>
          <w:lang w:val="en-US"/>
        </w:rPr>
        <w:br/>
        <w:t>Against: none</w:t>
      </w:r>
      <w:r w:rsidRPr="00FD5424">
        <w:rPr>
          <w:lang w:val="en-US"/>
        </w:rPr>
        <w:br/>
      </w:r>
      <w:r w:rsidRPr="00FD5424">
        <w:rPr>
          <w:b/>
          <w:bCs/>
          <w:lang w:val="en-US"/>
        </w:rPr>
        <w:t>Outcome</w:t>
      </w:r>
      <w:r w:rsidRPr="00FD5424">
        <w:rPr>
          <w:lang w:val="en-US"/>
        </w:rPr>
        <w:t>: passed</w:t>
      </w:r>
    </w:p>
    <w:p w14:paraId="34F6EA6E" w14:textId="77777777" w:rsidR="00DD587E" w:rsidRPr="00FD5424" w:rsidRDefault="00DD587E" w:rsidP="00DD587E">
      <w:pPr>
        <w:pStyle w:val="Heading3"/>
        <w:rPr>
          <w:lang w:val="en-US"/>
        </w:rPr>
      </w:pPr>
      <w:r w:rsidRPr="00FD5424">
        <w:rPr>
          <w:lang w:val="en-US"/>
        </w:rPr>
        <w:t>R4 embodies (is embodied in)</w:t>
      </w:r>
    </w:p>
    <w:p w14:paraId="7F8C4AD5" w14:textId="77777777" w:rsidR="00DD587E" w:rsidRPr="00FD5424" w:rsidRDefault="00DD587E" w:rsidP="00DD587E">
      <w:pPr>
        <w:rPr>
          <w:rFonts w:ascii="Times New Roman" w:hAnsi="Times New Roman" w:cs="Times New Roman"/>
          <w:lang w:val="fr-FR"/>
        </w:rPr>
      </w:pPr>
      <w:r w:rsidRPr="00FD5424">
        <w:rPr>
          <w:rFonts w:ascii="Times New Roman" w:hAnsi="Times New Roman" w:cs="Times New Roman"/>
          <w:lang w:val="fr-FR"/>
        </w:rPr>
        <w:t>Domain:</w:t>
      </w:r>
      <w:r w:rsidRPr="00FD5424">
        <w:rPr>
          <w:rFonts w:ascii="Times New Roman" w:hAnsi="Times New Roman" w:cs="Times New Roman"/>
          <w:lang w:val="fr-FR"/>
        </w:rPr>
        <w:tab/>
        <w:t xml:space="preserve">  </w:t>
      </w:r>
      <w:hyperlink r:id="rId13" w:anchor="heading=h.gjdgxs" w:history="1">
        <w:r w:rsidRPr="00FD5424">
          <w:rPr>
            <w:rFonts w:ascii="Times New Roman" w:hAnsi="Times New Roman" w:cs="Times New Roman"/>
            <w:color w:val="0563C1" w:themeColor="hyperlink"/>
            <w:u w:val="single"/>
            <w:lang w:val="fr-FR"/>
          </w:rPr>
          <w:t>F3</w:t>
        </w:r>
      </w:hyperlink>
      <w:r w:rsidRPr="00FD5424">
        <w:rPr>
          <w:rFonts w:ascii="Times New Roman" w:hAnsi="Times New Roman" w:cs="Times New Roman"/>
          <w:lang w:val="fr-FR"/>
        </w:rPr>
        <w:t xml:space="preserve"> Manifestation </w:t>
      </w:r>
    </w:p>
    <w:p w14:paraId="441FDB85" w14:textId="77777777" w:rsidR="00DD587E" w:rsidRPr="00FD5424" w:rsidRDefault="00DD587E" w:rsidP="00DD587E">
      <w:pPr>
        <w:rPr>
          <w:rFonts w:ascii="Times New Roman" w:hAnsi="Times New Roman" w:cs="Times New Roman"/>
          <w:lang w:val="fr-FR"/>
        </w:rPr>
      </w:pPr>
      <w:r w:rsidRPr="00FD5424">
        <w:rPr>
          <w:rFonts w:ascii="Times New Roman" w:hAnsi="Times New Roman" w:cs="Times New Roman"/>
          <w:lang w:val="fr-FR"/>
        </w:rPr>
        <w:t>Range:</w:t>
      </w:r>
      <w:r w:rsidRPr="00FD5424">
        <w:rPr>
          <w:rFonts w:ascii="Times New Roman" w:hAnsi="Times New Roman" w:cs="Times New Roman"/>
          <w:lang w:val="fr-FR"/>
        </w:rPr>
        <w:tab/>
      </w:r>
      <w:r w:rsidRPr="00FD5424">
        <w:rPr>
          <w:rFonts w:ascii="Times New Roman" w:hAnsi="Times New Roman" w:cs="Times New Roman"/>
          <w:lang w:val="fr-FR"/>
        </w:rPr>
        <w:tab/>
      </w:r>
      <w:hyperlink r:id="rId14" w:anchor="heading=h.30j0zll" w:history="1">
        <w:r w:rsidRPr="00FD5424">
          <w:rPr>
            <w:rFonts w:ascii="Times New Roman" w:hAnsi="Times New Roman" w:cs="Times New Roman"/>
            <w:color w:val="0563C1" w:themeColor="hyperlink"/>
            <w:u w:val="single"/>
            <w:lang w:val="fr-FR"/>
          </w:rPr>
          <w:t>F2</w:t>
        </w:r>
      </w:hyperlink>
      <w:r w:rsidRPr="00FD5424">
        <w:rPr>
          <w:rFonts w:ascii="Times New Roman" w:hAnsi="Times New Roman" w:cs="Times New Roman"/>
          <w:lang w:val="fr-FR"/>
        </w:rPr>
        <w:t xml:space="preserve"> Expression </w:t>
      </w:r>
    </w:p>
    <w:p w14:paraId="153546D3"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Subproperty of:</w:t>
      </w:r>
      <w:r w:rsidRPr="00FD5424">
        <w:rPr>
          <w:rFonts w:ascii="Times New Roman" w:hAnsi="Times New Roman" w:cs="Times New Roman"/>
          <w:lang w:val="en-US"/>
        </w:rPr>
        <w:tab/>
      </w:r>
      <w:hyperlink r:id="rId15" w:anchor="heading=h.1fob9te" w:history="1">
        <w:r w:rsidRPr="00FD5424">
          <w:rPr>
            <w:rFonts w:ascii="Times New Roman" w:hAnsi="Times New Roman" w:cs="Times New Roman"/>
            <w:color w:val="0563C1" w:themeColor="hyperlink"/>
            <w:u w:val="single"/>
            <w:lang w:val="en-US"/>
          </w:rPr>
          <w:t>E73</w:t>
        </w:r>
      </w:hyperlink>
      <w:r w:rsidRPr="00FD5424">
        <w:rPr>
          <w:rFonts w:ascii="Times New Roman" w:hAnsi="Times New Roman" w:cs="Times New Roman"/>
          <w:lang w:val="en-US"/>
        </w:rPr>
        <w:t xml:space="preserve"> Information Object. P165 incorporates (is incorporated in): </w:t>
      </w:r>
      <w:hyperlink r:id="rId16" w:anchor="heading=h.3znysh7" w:history="1">
        <w:r w:rsidRPr="00FD5424">
          <w:rPr>
            <w:rFonts w:ascii="Times New Roman" w:hAnsi="Times New Roman" w:cs="Times New Roman"/>
            <w:color w:val="0563C1" w:themeColor="hyperlink"/>
            <w:u w:val="single"/>
            <w:lang w:val="en-US"/>
          </w:rPr>
          <w:t>E90</w:t>
        </w:r>
      </w:hyperlink>
      <w:r w:rsidRPr="00FD5424">
        <w:rPr>
          <w:rFonts w:ascii="Times New Roman" w:hAnsi="Times New Roman" w:cs="Times New Roman"/>
          <w:lang w:val="en-US"/>
        </w:rPr>
        <w:t xml:space="preserve"> Symbolic Object </w:t>
      </w:r>
    </w:p>
    <w:p w14:paraId="37EAC766"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 xml:space="preserve">Quantification: </w:t>
      </w:r>
      <w:r w:rsidRPr="00FD5424">
        <w:rPr>
          <w:rFonts w:ascii="Times New Roman" w:hAnsi="Times New Roman" w:cs="Times New Roman"/>
          <w:lang w:val="en-US"/>
        </w:rPr>
        <w:tab/>
        <w:t>(1,n:0,n)</w:t>
      </w:r>
    </w:p>
    <w:p w14:paraId="44F0571E" w14:textId="77777777" w:rsidR="00DD587E" w:rsidRPr="00FD5424" w:rsidRDefault="00DD587E" w:rsidP="00DD587E">
      <w:pPr>
        <w:ind w:left="1440" w:hanging="1440"/>
        <w:rPr>
          <w:rFonts w:ascii="Times New Roman" w:hAnsi="Times New Roman" w:cs="Times New Roman"/>
          <w:lang w:val="en-US"/>
        </w:rPr>
      </w:pPr>
      <w:r w:rsidRPr="00FD5424">
        <w:rPr>
          <w:rFonts w:ascii="Times New Roman" w:hAnsi="Times New Roman" w:cs="Times New Roman"/>
          <w:lang w:val="en-US"/>
        </w:rPr>
        <w:t>Scope note:</w:t>
      </w:r>
      <w:r w:rsidRPr="00FD5424">
        <w:rPr>
          <w:rFonts w:ascii="Times New Roman" w:hAnsi="Times New Roman" w:cs="Times New Roman"/>
          <w:lang w:val="en-US"/>
        </w:rPr>
        <w:tab/>
        <w:t>This property associates an instance of F3 Manifestation with one or more instances of F2 Expression which are rendered by this instance of F3 Manifestation. The manifestation formats the expression(s) in the way they are to be presented to some public, including specifying the intended sensory impression (such as visual appearance or audio rendition). The content of the embodied instances of F2 Expression should be defined at a symbolic level (such as a text or notated music) more abstract than the embodying instance of F3 Manifestation (such as a book or a notated score).   </w:t>
      </w:r>
    </w:p>
    <w:p w14:paraId="534AE32D" w14:textId="77777777" w:rsidR="00DD587E" w:rsidRPr="00FD5424" w:rsidRDefault="00DD587E" w:rsidP="00DD587E">
      <w:pPr>
        <w:ind w:left="1440" w:hanging="1440"/>
        <w:rPr>
          <w:rFonts w:ascii="Times New Roman" w:hAnsi="Times New Roman" w:cs="Times New Roman"/>
          <w:lang w:val="en-US"/>
        </w:rPr>
      </w:pPr>
      <w:r w:rsidRPr="00FD5424">
        <w:rPr>
          <w:rFonts w:ascii="Times New Roman" w:hAnsi="Times New Roman" w:cs="Times New Roman"/>
          <w:lang w:val="en-US"/>
        </w:rPr>
        <w:lastRenderedPageBreak/>
        <w:t>Examples:</w:t>
      </w:r>
      <w:r w:rsidRPr="00FD5424">
        <w:rPr>
          <w:rFonts w:ascii="Times New Roman" w:hAnsi="Times New Roman" w:cs="Times New Roman"/>
          <w:lang w:val="en-US"/>
        </w:rPr>
        <w:tab/>
        <w:t xml:space="preserve">The publication identified by ISBN ‘2-222-00835-2’ (F3) </w:t>
      </w:r>
      <w:r w:rsidRPr="00FD5424">
        <w:rPr>
          <w:rFonts w:ascii="Times New Roman" w:hAnsi="Times New Roman" w:cs="Times New Roman"/>
          <w:i/>
          <w:iCs/>
          <w:lang w:val="en-US"/>
        </w:rPr>
        <w:t>embodies</w:t>
      </w:r>
      <w:r w:rsidRPr="00FD5424">
        <w:rPr>
          <w:rFonts w:ascii="Times New Roman" w:hAnsi="Times New Roman" w:cs="Times New Roman"/>
          <w:lang w:val="en-US"/>
        </w:rPr>
        <w:t xml:space="preserve"> the text of Marin Mersenne’s ‘Harmonie universelle’ (F2).</w:t>
      </w:r>
    </w:p>
    <w:p w14:paraId="7AFA27E9" w14:textId="77777777" w:rsidR="00DD587E" w:rsidRPr="00FD5424" w:rsidRDefault="00DD587E" w:rsidP="00DD587E">
      <w:pPr>
        <w:ind w:left="1530"/>
        <w:rPr>
          <w:rFonts w:ascii="Times New Roman" w:hAnsi="Times New Roman" w:cs="Times New Roman"/>
          <w:lang w:val="en-US"/>
        </w:rPr>
      </w:pPr>
      <w:r w:rsidRPr="00FD5424">
        <w:rPr>
          <w:rFonts w:ascii="Times New Roman" w:hAnsi="Times New Roman" w:cs="Times New Roman"/>
          <w:lang w:val="en-US"/>
        </w:rPr>
        <w:t xml:space="preserve">The CD entitled ‘Musique de la Grèce antique = Ancient Greek music = Griechische Musik der Antike’, released in 2000 and identified by UPC/EAN ‘794881601622’ (F3) </w:t>
      </w:r>
      <w:r w:rsidRPr="00FD5424">
        <w:rPr>
          <w:rFonts w:ascii="Times New Roman" w:hAnsi="Times New Roman" w:cs="Times New Roman"/>
          <w:i/>
          <w:iCs/>
          <w:lang w:val="en-US"/>
        </w:rPr>
        <w:t xml:space="preserve">embodies </w:t>
      </w:r>
      <w:r w:rsidRPr="00FD5424">
        <w:rPr>
          <w:rFonts w:ascii="Times New Roman" w:hAnsi="Times New Roman" w:cs="Times New Roman"/>
          <w:lang w:val="en-US"/>
        </w:rPr>
        <w:t>a recording of the At</w:t>
      </w:r>
      <w:bookmarkStart w:id="4" w:name="_GoBack"/>
      <w:bookmarkEnd w:id="4"/>
      <w:r w:rsidRPr="00FD5424">
        <w:rPr>
          <w:rFonts w:ascii="Times New Roman" w:hAnsi="Times New Roman" w:cs="Times New Roman"/>
          <w:lang w:val="en-US"/>
        </w:rPr>
        <w:t>rium Musicæ Ensemble’s performance of a fragment of Euripides’ textual and musical work entitled ‘Orestes’ (F2).</w:t>
      </w:r>
    </w:p>
    <w:p w14:paraId="5575009C" w14:textId="77777777" w:rsidR="00DD587E" w:rsidRPr="00FD5424" w:rsidRDefault="00DD587E" w:rsidP="00FD5424">
      <w:pPr>
        <w:suppressAutoHyphens w:val="0"/>
        <w:spacing w:after="160" w:line="259" w:lineRule="auto"/>
        <w:rPr>
          <w:lang w:val="en-US"/>
        </w:rPr>
      </w:pPr>
    </w:p>
    <w:p w14:paraId="027BFDF3" w14:textId="77777777" w:rsidR="00FD5424" w:rsidRPr="00FD5424" w:rsidRDefault="00FD5424" w:rsidP="00FD5424">
      <w:pPr>
        <w:pStyle w:val="Heading2"/>
        <w:rPr>
          <w:lang w:val="en-US"/>
        </w:rPr>
      </w:pPr>
      <w:bookmarkStart w:id="5" w:name="_F34_Controlled_Vocabulary"/>
      <w:bookmarkEnd w:id="5"/>
      <w:r w:rsidRPr="00FD5424">
        <w:rPr>
          <w:lang w:val="en-US"/>
        </w:rPr>
        <w:t>F34 Controlled Vocabulary (edits)</w:t>
      </w:r>
    </w:p>
    <w:p w14:paraId="69CA1390" w14:textId="77777777" w:rsidR="00FD5424" w:rsidRPr="00FD5424" w:rsidRDefault="00FD5424" w:rsidP="00FD5424">
      <w:pPr>
        <w:suppressAutoHyphens w:val="0"/>
        <w:spacing w:after="160" w:line="259" w:lineRule="auto"/>
        <w:rPr>
          <w:lang w:val="en-US"/>
        </w:rPr>
      </w:pPr>
      <w:r w:rsidRPr="00FD5424">
        <w:rPr>
          <w:b/>
          <w:bCs/>
          <w:lang w:val="en-US"/>
        </w:rPr>
        <w:t>Proposal</w:t>
      </w:r>
      <w:r w:rsidRPr="00FD5424">
        <w:rPr>
          <w:lang w:val="en-US"/>
        </w:rPr>
        <w:t xml:space="preserve">: deprecate F34, it has a number of superclasses, (E29, E32 and F2). F2 Expression suggests that there exists some F1 Work which can be realized by F34 (isA F2). The identity of the corresponding F1 remains a puzzle. Furthermore, the only property linking from F34 (R34 has validity period) does not seem particular to it. So, R34 can be deprecated too. </w:t>
      </w:r>
    </w:p>
    <w:p w14:paraId="085D75AD" w14:textId="77777777" w:rsidR="00FD5424" w:rsidRPr="00FD5424" w:rsidRDefault="00FD5424" w:rsidP="00FD5424">
      <w:pPr>
        <w:suppressAutoHyphens w:val="0"/>
        <w:spacing w:after="160" w:line="259" w:lineRule="auto"/>
        <w:rPr>
          <w:lang w:val="en-US"/>
        </w:rPr>
      </w:pPr>
      <w:r w:rsidRPr="00FD5424">
        <w:rPr>
          <w:b/>
          <w:bCs/>
          <w:lang w:val="en-US"/>
        </w:rPr>
        <w:t>Discussion points</w:t>
      </w:r>
      <w:r w:rsidRPr="00FD5424">
        <w:rPr>
          <w:lang w:val="en-US"/>
        </w:rPr>
        <w:t xml:space="preserve">: </w:t>
      </w:r>
    </w:p>
    <w:p w14:paraId="047829B8" w14:textId="77777777" w:rsidR="00FD5424" w:rsidRPr="00FD5424" w:rsidRDefault="00FD5424" w:rsidP="00FD5424">
      <w:pPr>
        <w:suppressAutoHyphens w:val="0"/>
        <w:spacing w:after="160" w:line="259" w:lineRule="auto"/>
        <w:rPr>
          <w:lang w:val="en-US"/>
        </w:rPr>
      </w:pPr>
      <w:r w:rsidRPr="00FD5424">
        <w:rPr>
          <w:lang w:val="en-US"/>
        </w:rPr>
        <w:t xml:space="preserve">SdS: he is concerned that it won’t be possible to offer a migration path if we accept to do away with F34 and R34. Should R34 fall under the model for Activity Plans? He doesn’t want the property be deprecated until a migration path has been devised –also what model will host it. Maybe say that “This (class/property) is a candidate for moving to a different extension, you will need to migrate data recorded in this manner”. So keep F34, in order to keep R34 for the time being. </w:t>
      </w:r>
    </w:p>
    <w:p w14:paraId="10E53058" w14:textId="77777777" w:rsidR="00FD5424" w:rsidRPr="00FD5424" w:rsidRDefault="00FD5424" w:rsidP="00FD5424">
      <w:pPr>
        <w:suppressAutoHyphens w:val="0"/>
        <w:spacing w:after="160" w:line="259" w:lineRule="auto"/>
        <w:rPr>
          <w:lang w:val="en-US"/>
        </w:rPr>
      </w:pPr>
      <w:r w:rsidRPr="00FD5424">
        <w:rPr>
          <w:lang w:val="en-US"/>
        </w:rPr>
        <w:t>PR: we could move examples to the higher classes as well.</w:t>
      </w:r>
    </w:p>
    <w:p w14:paraId="437C51CC" w14:textId="77777777" w:rsidR="00FD5424" w:rsidRPr="00FD5424" w:rsidRDefault="00FD5424" w:rsidP="00FD5424">
      <w:pPr>
        <w:suppressAutoHyphens w:val="0"/>
        <w:spacing w:after="160" w:line="259" w:lineRule="auto"/>
        <w:rPr>
          <w:lang w:val="en-US"/>
        </w:rPr>
      </w:pPr>
      <w:r w:rsidRPr="00FD5424">
        <w:rPr>
          <w:b/>
          <w:bCs/>
          <w:lang w:val="en-US"/>
        </w:rPr>
        <w:t>Vote</w:t>
      </w:r>
      <w:r w:rsidRPr="00FD5424">
        <w:rPr>
          <w:lang w:val="en-US"/>
        </w:rPr>
        <w:t xml:space="preserve"> to </w:t>
      </w:r>
    </w:p>
    <w:p w14:paraId="135AD0EF" w14:textId="77777777" w:rsidR="00FD5424" w:rsidRPr="00FD5424" w:rsidRDefault="00FD5424" w:rsidP="00FD5424">
      <w:pPr>
        <w:numPr>
          <w:ilvl w:val="0"/>
          <w:numId w:val="1"/>
        </w:numPr>
        <w:suppressAutoHyphens w:val="0"/>
        <w:spacing w:after="160" w:line="259" w:lineRule="auto"/>
        <w:contextualSpacing/>
        <w:rPr>
          <w:lang w:val="en-US"/>
        </w:rPr>
      </w:pPr>
      <w:r w:rsidRPr="00FD5424">
        <w:rPr>
          <w:lang w:val="en-US"/>
        </w:rPr>
        <w:t xml:space="preserve">Include an example of KOS (ISO  list of codes for languages/countries) under F1 Work </w:t>
      </w:r>
    </w:p>
    <w:p w14:paraId="1E0E21CA" w14:textId="77777777" w:rsidR="00FD5424" w:rsidRPr="00FD5424" w:rsidRDefault="00FD5424" w:rsidP="00FD5424">
      <w:pPr>
        <w:numPr>
          <w:ilvl w:val="0"/>
          <w:numId w:val="1"/>
        </w:numPr>
        <w:suppressAutoHyphens w:val="0"/>
        <w:spacing w:after="160" w:line="259" w:lineRule="auto"/>
        <w:contextualSpacing/>
        <w:rPr>
          <w:lang w:val="en-US"/>
        </w:rPr>
      </w:pPr>
      <w:r w:rsidRPr="00FD5424">
        <w:rPr>
          <w:lang w:val="en-US"/>
        </w:rPr>
        <w:t>Include a classification code as example for F12 Nomen</w:t>
      </w:r>
    </w:p>
    <w:p w14:paraId="1F33085E" w14:textId="77777777" w:rsidR="00FD5424" w:rsidRPr="00FD5424" w:rsidRDefault="00FD5424" w:rsidP="00FD5424">
      <w:pPr>
        <w:numPr>
          <w:ilvl w:val="0"/>
          <w:numId w:val="1"/>
        </w:numPr>
        <w:suppressAutoHyphens w:val="0"/>
        <w:spacing w:after="160" w:line="259" w:lineRule="auto"/>
        <w:contextualSpacing/>
        <w:rPr>
          <w:lang w:val="en-US"/>
        </w:rPr>
      </w:pPr>
      <w:r w:rsidRPr="00FD5424">
        <w:rPr>
          <w:lang w:val="en-US"/>
        </w:rPr>
        <w:t xml:space="preserve">Include a code from the ISO list as an example of F12 Nomen for a language/country </w:t>
      </w:r>
    </w:p>
    <w:p w14:paraId="03D4CAA7" w14:textId="77777777" w:rsidR="00FD5424" w:rsidRPr="00FD5424" w:rsidRDefault="00FD5424" w:rsidP="00FD5424">
      <w:pPr>
        <w:numPr>
          <w:ilvl w:val="0"/>
          <w:numId w:val="1"/>
        </w:numPr>
        <w:suppressAutoHyphens w:val="0"/>
        <w:spacing w:after="160" w:line="259" w:lineRule="auto"/>
        <w:contextualSpacing/>
        <w:rPr>
          <w:lang w:val="en-US"/>
        </w:rPr>
      </w:pPr>
      <w:r w:rsidRPr="00FD5424">
        <w:rPr>
          <w:lang w:val="en-US"/>
        </w:rPr>
        <w:t xml:space="preserve">Keep F34 and R34 until we can provide a migration plan for R34. </w:t>
      </w:r>
    </w:p>
    <w:p w14:paraId="156F2D9B" w14:textId="77777777" w:rsidR="00FD5424" w:rsidRPr="00FD5424" w:rsidRDefault="00FD5424" w:rsidP="00FD5424">
      <w:pPr>
        <w:numPr>
          <w:ilvl w:val="0"/>
          <w:numId w:val="1"/>
        </w:numPr>
        <w:suppressAutoHyphens w:val="0"/>
        <w:spacing w:after="160" w:line="259" w:lineRule="auto"/>
        <w:contextualSpacing/>
        <w:rPr>
          <w:lang w:val="en-US"/>
        </w:rPr>
      </w:pPr>
      <w:r w:rsidRPr="00FD5424">
        <w:rPr>
          <w:lang w:val="en-US"/>
        </w:rPr>
        <w:t>Note for F34 and R34 that “This (class/property) is a candidate for moving to a different extension, you will need to migrate data recorded in this manner”</w:t>
      </w:r>
    </w:p>
    <w:p w14:paraId="65354AFA" w14:textId="77777777" w:rsidR="00FD5424" w:rsidRPr="00FD5424" w:rsidRDefault="00FD5424" w:rsidP="00FD5424">
      <w:pPr>
        <w:suppressAutoHyphens w:val="0"/>
        <w:spacing w:after="160" w:line="259" w:lineRule="auto"/>
        <w:rPr>
          <w:lang w:val="en-US"/>
        </w:rPr>
      </w:pPr>
      <w:r w:rsidRPr="00FD5424">
        <w:rPr>
          <w:lang w:val="en-US"/>
        </w:rPr>
        <w:t>In favor: 11</w:t>
      </w:r>
      <w:r w:rsidRPr="00FD5424">
        <w:rPr>
          <w:lang w:val="en-US"/>
        </w:rPr>
        <w:br/>
        <w:t>Against: none</w:t>
      </w:r>
      <w:r w:rsidRPr="00FD5424">
        <w:rPr>
          <w:lang w:val="en-US"/>
        </w:rPr>
        <w:br/>
      </w:r>
      <w:r w:rsidRPr="00FD5424">
        <w:rPr>
          <w:b/>
          <w:bCs/>
          <w:lang w:val="en-US"/>
        </w:rPr>
        <w:t>Outcome</w:t>
      </w:r>
      <w:r w:rsidRPr="00FD5424">
        <w:rPr>
          <w:lang w:val="en-US"/>
        </w:rPr>
        <w:t>: passed</w:t>
      </w:r>
    </w:p>
    <w:p w14:paraId="488A5773" w14:textId="77777777" w:rsidR="00FD5424" w:rsidRPr="00FD5424" w:rsidRDefault="00FD5424" w:rsidP="00FD5424">
      <w:pPr>
        <w:pStyle w:val="Heading2"/>
        <w:rPr>
          <w:lang w:val="en-US"/>
        </w:rPr>
      </w:pPr>
      <w:bookmarkStart w:id="6" w:name="_F35_Nomen_Use"/>
      <w:bookmarkEnd w:id="6"/>
      <w:r w:rsidRPr="00FD5424">
        <w:rPr>
          <w:lang w:val="en-US"/>
        </w:rPr>
        <w:t>F35 Nomen Use Statement</w:t>
      </w:r>
    </w:p>
    <w:p w14:paraId="7E49AF90" w14:textId="77777777" w:rsidR="00FD5424" w:rsidRPr="00FD5424" w:rsidRDefault="00FD5424" w:rsidP="00FD5424">
      <w:pPr>
        <w:rPr>
          <w:lang w:val="en-US"/>
        </w:rPr>
      </w:pPr>
      <w:r w:rsidRPr="00FD5424">
        <w:rPr>
          <w:b/>
          <w:bCs/>
          <w:lang w:val="en-US"/>
        </w:rPr>
        <w:t>Proposal</w:t>
      </w:r>
      <w:r w:rsidRPr="00FD5424">
        <w:rPr>
          <w:lang w:val="en-US"/>
        </w:rPr>
        <w:t xml:space="preserve">: Since F12 Nomen is no longer just a string, the properties that were linking from F35 can now link from it. As a result, F35 can be deprecated and the domain of R35 &amp; R36 can change to F12. Have a classification example for F12, deprecate R32, R37, R38 and R55. </w:t>
      </w:r>
    </w:p>
    <w:p w14:paraId="6BE130E1" w14:textId="77777777" w:rsidR="00FD5424" w:rsidRPr="00FD5424" w:rsidRDefault="00FD5424" w:rsidP="00FD5424">
      <w:pPr>
        <w:rPr>
          <w:lang w:val="en-US"/>
        </w:rPr>
      </w:pPr>
      <w:r w:rsidRPr="00FD5424">
        <w:rPr>
          <w:b/>
          <w:bCs/>
          <w:lang w:val="en-US"/>
        </w:rPr>
        <w:t>Discussion points</w:t>
      </w:r>
      <w:r w:rsidRPr="00FD5424">
        <w:rPr>
          <w:lang w:val="en-US"/>
        </w:rPr>
        <w:t xml:space="preserve">: </w:t>
      </w:r>
    </w:p>
    <w:p w14:paraId="391D1476" w14:textId="77777777" w:rsidR="00FD5424" w:rsidRPr="00FD5424" w:rsidRDefault="00FD5424" w:rsidP="00FD5424">
      <w:pPr>
        <w:rPr>
          <w:lang w:val="en-US"/>
        </w:rPr>
      </w:pPr>
      <w:r w:rsidRPr="00FD5424">
        <w:rPr>
          <w:b/>
          <w:bCs/>
          <w:lang w:val="en-US"/>
        </w:rPr>
        <w:t>MD</w:t>
      </w:r>
      <w:r w:rsidRPr="00FD5424">
        <w:rPr>
          <w:lang w:val="en-US"/>
        </w:rPr>
        <w:t>: the examples need to be formulated in a way that reflects that F12 associates instances of E1 CRM Entity with their E41 Appellations. It works as an F35 Name Use Statement, hence a migration path should be made available.</w:t>
      </w:r>
      <w:r w:rsidRPr="00FD5424">
        <w:rPr>
          <w:lang w:val="en-US"/>
        </w:rPr>
        <w:br/>
        <w:t xml:space="preserve">So </w:t>
      </w:r>
      <w:r w:rsidRPr="00FD5424">
        <w:rPr>
          <w:b/>
          <w:bCs/>
          <w:lang w:val="en-US"/>
        </w:rPr>
        <w:t>not</w:t>
      </w:r>
      <w:r w:rsidRPr="00FD5424">
        <w:rPr>
          <w:lang w:val="en-US"/>
        </w:rPr>
        <w:t xml:space="preserve"> “</w:t>
      </w:r>
      <w:r w:rsidRPr="00FD5424">
        <w:rPr>
          <w:color w:val="000000"/>
          <w:lang w:val="en-US"/>
        </w:rPr>
        <w:t>‘</w:t>
      </w:r>
      <w:r w:rsidRPr="00FD5424">
        <w:rPr>
          <w:rFonts w:ascii="MS Gothic" w:eastAsia="MS Gothic" w:hAnsi="MS Gothic" w:cs="MS Gothic" w:hint="eastAsia"/>
          <w:color w:val="000000"/>
        </w:rPr>
        <w:t>杜甫</w:t>
      </w:r>
      <w:r w:rsidRPr="00FD5424">
        <w:rPr>
          <w:color w:val="000000"/>
          <w:lang w:val="en-US"/>
        </w:rPr>
        <w:t>’</w:t>
      </w:r>
      <w:r w:rsidRPr="00FD5424">
        <w:rPr>
          <w:lang w:val="en-US"/>
        </w:rPr>
        <w:t xml:space="preserve"> [the name of a Chinese poet of the 8</w:t>
      </w:r>
      <w:r w:rsidRPr="00FD5424">
        <w:rPr>
          <w:vertAlign w:val="superscript"/>
          <w:lang w:val="en-US"/>
        </w:rPr>
        <w:t>th</w:t>
      </w:r>
      <w:r w:rsidRPr="00FD5424">
        <w:rPr>
          <w:lang w:val="en-US"/>
        </w:rPr>
        <w:t xml:space="preserve"> century, in simplified Chinese characters]”, </w:t>
      </w:r>
      <w:r w:rsidRPr="00FD5424">
        <w:rPr>
          <w:b/>
          <w:bCs/>
          <w:lang w:val="en-US"/>
        </w:rPr>
        <w:t>but</w:t>
      </w:r>
      <w:r w:rsidRPr="00FD5424">
        <w:rPr>
          <w:lang w:val="en-US"/>
        </w:rPr>
        <w:t xml:space="preserve"> “</w:t>
      </w:r>
      <w:r w:rsidRPr="00FD5424">
        <w:rPr>
          <w:color w:val="000000"/>
          <w:lang w:val="en-US"/>
        </w:rPr>
        <w:t>‘</w:t>
      </w:r>
      <w:r w:rsidRPr="00FD5424">
        <w:rPr>
          <w:rFonts w:ascii="MS Gothic" w:eastAsia="MS Gothic" w:hAnsi="MS Gothic" w:cs="MS Gothic" w:hint="eastAsia"/>
          <w:color w:val="000000"/>
        </w:rPr>
        <w:t>杜甫</w:t>
      </w:r>
      <w:r w:rsidRPr="00FD5424">
        <w:rPr>
          <w:color w:val="000000"/>
          <w:lang w:val="en-US"/>
        </w:rPr>
        <w:t>’</w:t>
      </w:r>
      <w:r w:rsidRPr="00FD5424">
        <w:rPr>
          <w:lang w:val="en-US"/>
        </w:rPr>
        <w:t xml:space="preserve"> as the name for a Chinese poet of the 8</w:t>
      </w:r>
      <w:r w:rsidRPr="00FD5424">
        <w:rPr>
          <w:vertAlign w:val="superscript"/>
          <w:lang w:val="en-US"/>
        </w:rPr>
        <w:t>th</w:t>
      </w:r>
      <w:r w:rsidRPr="00FD5424">
        <w:rPr>
          <w:lang w:val="en-US"/>
        </w:rPr>
        <w:t xml:space="preserve"> century, rendered in simplified Chinese characters”. </w:t>
      </w:r>
    </w:p>
    <w:p w14:paraId="2BA6BBED" w14:textId="77777777" w:rsidR="00FD5424" w:rsidRPr="00FD5424" w:rsidRDefault="00FD5424" w:rsidP="00FD5424">
      <w:pPr>
        <w:rPr>
          <w:lang w:val="en-US"/>
        </w:rPr>
      </w:pPr>
      <w:r w:rsidRPr="00FD5424">
        <w:rPr>
          <w:b/>
          <w:bCs/>
          <w:lang w:val="en-US"/>
        </w:rPr>
        <w:lastRenderedPageBreak/>
        <w:t>SdS</w:t>
      </w:r>
      <w:r w:rsidRPr="00FD5424">
        <w:rPr>
          <w:lang w:val="en-US"/>
        </w:rPr>
        <w:t>: Since F12 has effectively become F35 and has absorbed all of its properties, how should one treat the instances of F12 Nomen that predate its redefinition?</w:t>
      </w:r>
    </w:p>
    <w:p w14:paraId="36842A65" w14:textId="77777777" w:rsidR="00FD5424" w:rsidRPr="00FD5424" w:rsidRDefault="00FD5424" w:rsidP="00FD5424">
      <w:pPr>
        <w:rPr>
          <w:lang w:val="en-US"/>
        </w:rPr>
      </w:pPr>
      <w:r w:rsidRPr="00FD5424">
        <w:rPr>
          <w:b/>
          <w:bCs/>
          <w:lang w:val="en-US"/>
        </w:rPr>
        <w:t>PR</w:t>
      </w:r>
      <w:r w:rsidRPr="00FD5424">
        <w:rPr>
          <w:lang w:val="en-US"/>
        </w:rPr>
        <w:t xml:space="preserve">: there’s always R33 has content, and the string (that used to be F12 Nomen) is documented with this property. </w:t>
      </w:r>
    </w:p>
    <w:p w14:paraId="075B407B" w14:textId="77777777" w:rsidR="00FD5424" w:rsidRPr="00FD5424" w:rsidRDefault="00FD5424" w:rsidP="00FD5424">
      <w:pPr>
        <w:rPr>
          <w:lang w:val="en-US"/>
        </w:rPr>
      </w:pPr>
      <w:r w:rsidRPr="00FD5424">
        <w:rPr>
          <w:b/>
          <w:bCs/>
          <w:lang w:val="en-US"/>
        </w:rPr>
        <w:t>Vote</w:t>
      </w:r>
      <w:r w:rsidRPr="00FD5424">
        <w:rPr>
          <w:lang w:val="en-US"/>
        </w:rPr>
        <w:t xml:space="preserve"> on the following.</w:t>
      </w:r>
    </w:p>
    <w:p w14:paraId="52C575B7" w14:textId="77777777" w:rsidR="00FD5424" w:rsidRPr="00FD5424" w:rsidRDefault="00FD5424" w:rsidP="00FD5424">
      <w:pPr>
        <w:numPr>
          <w:ilvl w:val="0"/>
          <w:numId w:val="1"/>
        </w:numPr>
        <w:contextualSpacing/>
        <w:rPr>
          <w:lang w:val="en-US"/>
        </w:rPr>
      </w:pPr>
      <w:r w:rsidRPr="00FD5424">
        <w:rPr>
          <w:lang w:val="en-US"/>
        </w:rPr>
        <w:t xml:space="preserve">to </w:t>
      </w:r>
      <w:r w:rsidRPr="00FD5424">
        <w:rPr>
          <w:u w:val="single"/>
          <w:lang w:val="en-US"/>
        </w:rPr>
        <w:t>deprecate</w:t>
      </w:r>
      <w:r w:rsidRPr="00FD5424">
        <w:rPr>
          <w:lang w:val="en-US"/>
        </w:rPr>
        <w:t xml:space="preserve"> </w:t>
      </w:r>
      <w:r w:rsidRPr="00FD5424">
        <w:rPr>
          <w:b/>
          <w:lang w:val="en-US"/>
        </w:rPr>
        <w:t>F35 Nomen Use Statement</w:t>
      </w:r>
    </w:p>
    <w:p w14:paraId="7C41CECF" w14:textId="77777777" w:rsidR="00FD5424" w:rsidRPr="00FD5424" w:rsidRDefault="00FD5424" w:rsidP="00FD5424">
      <w:pPr>
        <w:numPr>
          <w:ilvl w:val="0"/>
          <w:numId w:val="1"/>
        </w:numPr>
        <w:contextualSpacing/>
        <w:rPr>
          <w:lang w:val="en-US"/>
        </w:rPr>
      </w:pPr>
      <w:r w:rsidRPr="00FD5424">
        <w:rPr>
          <w:lang w:val="en-US"/>
        </w:rPr>
        <w:t>to add the following examples to F12 Nomen (a classification number, and class caption)</w:t>
      </w:r>
    </w:p>
    <w:p w14:paraId="03A7D988" w14:textId="77777777" w:rsidR="00FD5424" w:rsidRPr="00FD5424" w:rsidRDefault="00FD5424" w:rsidP="00FD5424">
      <w:pPr>
        <w:numPr>
          <w:ilvl w:val="1"/>
          <w:numId w:val="1"/>
        </w:numPr>
        <w:contextualSpacing/>
        <w:rPr>
          <w:lang w:val="en-US"/>
        </w:rPr>
      </w:pPr>
      <w:r w:rsidRPr="00FD5424">
        <w:rPr>
          <w:lang w:val="en-US"/>
        </w:rPr>
        <w:t>'595.7' [classification number for Insecta in the 23rd edition of the Dewey Decimal Classification]</w:t>
      </w:r>
    </w:p>
    <w:p w14:paraId="5950F379" w14:textId="77777777" w:rsidR="00FD5424" w:rsidRPr="00FD5424" w:rsidRDefault="00FD5424" w:rsidP="00FD5424">
      <w:pPr>
        <w:numPr>
          <w:ilvl w:val="1"/>
          <w:numId w:val="1"/>
        </w:numPr>
        <w:contextualSpacing/>
        <w:rPr>
          <w:lang w:val="en-US"/>
        </w:rPr>
      </w:pPr>
      <w:r w:rsidRPr="00FD5424">
        <w:rPr>
          <w:lang w:val="en-US"/>
        </w:rPr>
        <w:t>'Insecta'[caption for the class '595.7' in the English language 23rd edition of the Dewey Decimal Classification]</w:t>
      </w:r>
    </w:p>
    <w:p w14:paraId="11994439" w14:textId="77777777" w:rsidR="00FD5424" w:rsidRPr="00FD5424" w:rsidRDefault="00FD5424" w:rsidP="00FD5424">
      <w:pPr>
        <w:numPr>
          <w:ilvl w:val="0"/>
          <w:numId w:val="1"/>
        </w:numPr>
        <w:contextualSpacing/>
        <w:rPr>
          <w:lang w:val="en-US"/>
        </w:rPr>
      </w:pPr>
      <w:r w:rsidRPr="00FD5424">
        <w:rPr>
          <w:lang w:val="en-US"/>
        </w:rPr>
        <w:t xml:space="preserve">change the </w:t>
      </w:r>
      <w:r w:rsidRPr="00FD5424">
        <w:rPr>
          <w:u w:val="single"/>
          <w:lang w:val="en-US"/>
        </w:rPr>
        <w:t>domain</w:t>
      </w:r>
      <w:r w:rsidRPr="00FD5424">
        <w:rPr>
          <w:lang w:val="en-US"/>
        </w:rPr>
        <w:t xml:space="preserve"> of </w:t>
      </w:r>
      <w:r w:rsidRPr="00FD5424">
        <w:rPr>
          <w:b/>
          <w:lang w:val="en-US"/>
        </w:rPr>
        <w:t>R35/R36/R54</w:t>
      </w:r>
      <w:r w:rsidRPr="00FD5424">
        <w:rPr>
          <w:lang w:val="en-US"/>
        </w:rPr>
        <w:t xml:space="preserve"> </w:t>
      </w:r>
      <w:r w:rsidRPr="00FD5424">
        <w:rPr>
          <w:b/>
          <w:lang w:val="en-US"/>
        </w:rPr>
        <w:t>from</w:t>
      </w:r>
      <w:r w:rsidRPr="00FD5424">
        <w:rPr>
          <w:lang w:val="en-US"/>
        </w:rPr>
        <w:t xml:space="preserve"> </w:t>
      </w:r>
      <w:r w:rsidRPr="00FD5424">
        <w:rPr>
          <w:u w:val="single"/>
          <w:lang w:val="en-US"/>
        </w:rPr>
        <w:t>F35 Nomen Use Statement</w:t>
      </w:r>
      <w:r w:rsidRPr="00FD5424">
        <w:rPr>
          <w:lang w:val="en-US"/>
        </w:rPr>
        <w:t xml:space="preserve">, </w:t>
      </w:r>
      <w:r w:rsidRPr="00FD5424">
        <w:rPr>
          <w:b/>
          <w:lang w:val="en-US"/>
        </w:rPr>
        <w:t>to</w:t>
      </w:r>
      <w:r w:rsidRPr="00FD5424">
        <w:rPr>
          <w:lang w:val="en-US"/>
        </w:rPr>
        <w:t xml:space="preserve"> </w:t>
      </w:r>
      <w:r w:rsidRPr="00FD5424">
        <w:rPr>
          <w:u w:val="single"/>
          <w:lang w:val="en-US"/>
        </w:rPr>
        <w:t>F12 Nomen</w:t>
      </w:r>
    </w:p>
    <w:p w14:paraId="3FDAFB53" w14:textId="77777777" w:rsidR="00FD5424" w:rsidRPr="00FD5424" w:rsidRDefault="00FD5424" w:rsidP="00FD5424">
      <w:pPr>
        <w:numPr>
          <w:ilvl w:val="0"/>
          <w:numId w:val="1"/>
        </w:numPr>
        <w:contextualSpacing/>
        <w:rPr>
          <w:lang w:val="en-US"/>
        </w:rPr>
      </w:pPr>
      <w:r w:rsidRPr="00FD5424">
        <w:rPr>
          <w:lang w:val="en-US"/>
        </w:rPr>
        <w:t xml:space="preserve">change the </w:t>
      </w:r>
      <w:r w:rsidRPr="00FD5424">
        <w:rPr>
          <w:u w:val="single"/>
          <w:lang w:val="en-US"/>
        </w:rPr>
        <w:t>range</w:t>
      </w:r>
      <w:r w:rsidRPr="00FD5424">
        <w:rPr>
          <w:lang w:val="en-US"/>
        </w:rPr>
        <w:t xml:space="preserve"> of </w:t>
      </w:r>
      <w:r w:rsidRPr="00FD5424">
        <w:rPr>
          <w:b/>
          <w:lang w:val="en-US"/>
        </w:rPr>
        <w:t>R35 is specified by</w:t>
      </w:r>
      <w:r w:rsidRPr="00FD5424">
        <w:rPr>
          <w:lang w:val="en-US"/>
        </w:rPr>
        <w:t xml:space="preserve"> [D: F35 Nomen Use Statement, </w:t>
      </w:r>
      <w:r w:rsidRPr="00FD5424">
        <w:rPr>
          <w:u w:val="single"/>
          <w:lang w:val="en-US"/>
        </w:rPr>
        <w:t>R: F34 Controlled Vocabulary</w:t>
      </w:r>
      <w:r w:rsidRPr="00FD5424">
        <w:rPr>
          <w:lang w:val="en-US"/>
        </w:rPr>
        <w:t xml:space="preserve">] to </w:t>
      </w:r>
      <w:r w:rsidRPr="00FD5424">
        <w:rPr>
          <w:u w:val="single"/>
          <w:lang w:val="en-US"/>
        </w:rPr>
        <w:t>F2 Expression</w:t>
      </w:r>
      <w:r w:rsidRPr="00FD5424">
        <w:rPr>
          <w:lang w:val="en-US"/>
        </w:rPr>
        <w:t xml:space="preserve"> (since we really don’t want to keep F34 Controlled Vocabulary in LRMoo in the long run –see </w:t>
      </w:r>
      <w:hyperlink w:anchor="_F34_Controlled_Vocabulary" w:history="1">
        <w:r w:rsidRPr="00FD5424">
          <w:rPr>
            <w:color w:val="0563C1" w:themeColor="hyperlink"/>
            <w:u w:val="single"/>
            <w:lang w:val="en-US"/>
          </w:rPr>
          <w:t>abo</w:t>
        </w:r>
        <w:r w:rsidRPr="00FD5424">
          <w:rPr>
            <w:color w:val="0563C1" w:themeColor="hyperlink"/>
            <w:u w:val="single"/>
            <w:lang w:val="en-US"/>
          </w:rPr>
          <w:t>v</w:t>
        </w:r>
        <w:r w:rsidRPr="00FD5424">
          <w:rPr>
            <w:color w:val="0563C1" w:themeColor="hyperlink"/>
            <w:u w:val="single"/>
            <w:lang w:val="en-US"/>
          </w:rPr>
          <w:t>e</w:t>
        </w:r>
      </w:hyperlink>
      <w:r w:rsidRPr="00FD5424">
        <w:rPr>
          <w:lang w:val="en-US"/>
        </w:rPr>
        <w:t>)</w:t>
      </w:r>
    </w:p>
    <w:p w14:paraId="4EE876F8" w14:textId="77777777" w:rsidR="00FD5424" w:rsidRPr="00FD5424" w:rsidRDefault="00FD5424" w:rsidP="00FD5424">
      <w:pPr>
        <w:numPr>
          <w:ilvl w:val="0"/>
          <w:numId w:val="1"/>
        </w:numPr>
        <w:contextualSpacing/>
        <w:rPr>
          <w:lang w:val="en-US"/>
        </w:rPr>
      </w:pPr>
      <w:r w:rsidRPr="00FD5424">
        <w:rPr>
          <w:lang w:val="en-US"/>
        </w:rPr>
        <w:t xml:space="preserve">keep </w:t>
      </w:r>
      <w:r w:rsidRPr="00FD5424">
        <w:rPr>
          <w:b/>
          <w:lang w:val="en-US"/>
        </w:rPr>
        <w:t>R33 has content</w:t>
      </w:r>
      <w:r w:rsidRPr="00FD5424">
        <w:rPr>
          <w:lang w:val="en-US"/>
        </w:rPr>
        <w:t xml:space="preserve"> in </w:t>
      </w:r>
      <w:r w:rsidRPr="00FD5424">
        <w:rPr>
          <w:b/>
          <w:lang w:val="en-US"/>
        </w:rPr>
        <w:t>F12 Nomen</w:t>
      </w:r>
      <w:r w:rsidRPr="00FD5424">
        <w:rPr>
          <w:lang w:val="en-US"/>
        </w:rPr>
        <w:t>.</w:t>
      </w:r>
    </w:p>
    <w:p w14:paraId="4728DD70" w14:textId="77777777" w:rsidR="00FD5424" w:rsidRPr="00FD5424" w:rsidRDefault="00FD5424" w:rsidP="00FD5424">
      <w:pPr>
        <w:numPr>
          <w:ilvl w:val="0"/>
          <w:numId w:val="1"/>
        </w:numPr>
        <w:contextualSpacing/>
        <w:rPr>
          <w:lang w:val="en-US"/>
        </w:rPr>
      </w:pPr>
      <w:r w:rsidRPr="00FD5424">
        <w:rPr>
          <w:lang w:val="en-US"/>
        </w:rPr>
        <w:t xml:space="preserve">Keep </w:t>
      </w:r>
      <w:r w:rsidRPr="00FD5424">
        <w:rPr>
          <w:b/>
          <w:lang w:val="en-US"/>
        </w:rPr>
        <w:t>R38 refers to thema</w:t>
      </w:r>
      <w:r w:rsidRPr="00FD5424">
        <w:rPr>
          <w:lang w:val="en-US"/>
        </w:rPr>
        <w:t xml:space="preserve"> (change its domain and range to </w:t>
      </w:r>
      <w:r w:rsidRPr="00FD5424">
        <w:rPr>
          <w:b/>
          <w:lang w:val="en-US"/>
        </w:rPr>
        <w:t>F12 Nomen</w:t>
      </w:r>
      <w:r w:rsidRPr="00FD5424">
        <w:rPr>
          <w:lang w:val="en-US"/>
        </w:rPr>
        <w:t xml:space="preserve"> and </w:t>
      </w:r>
      <w:r w:rsidRPr="00FD5424">
        <w:rPr>
          <w:b/>
          <w:lang w:val="en-US"/>
        </w:rPr>
        <w:t>E1 CRM Entity</w:t>
      </w:r>
      <w:r w:rsidRPr="00FD5424">
        <w:rPr>
          <w:lang w:val="en-US"/>
        </w:rPr>
        <w:t xml:space="preserve">, respectively) and make it a subproperty of </w:t>
      </w:r>
      <w:r w:rsidRPr="00FD5424">
        <w:rPr>
          <w:b/>
          <w:lang w:val="en-US"/>
        </w:rPr>
        <w:t>P1i</w:t>
      </w:r>
      <w:r w:rsidRPr="00FD5424">
        <w:rPr>
          <w:lang w:val="en-US"/>
        </w:rPr>
        <w:t xml:space="preserve"> </w:t>
      </w:r>
      <w:r w:rsidRPr="00FD5424">
        <w:rPr>
          <w:b/>
          <w:lang w:val="en-US"/>
        </w:rPr>
        <w:t>identifies</w:t>
      </w:r>
    </w:p>
    <w:p w14:paraId="05C3E742" w14:textId="77777777" w:rsidR="00FD5424" w:rsidRPr="00FD5424" w:rsidRDefault="00FD5424" w:rsidP="00FD5424">
      <w:pPr>
        <w:numPr>
          <w:ilvl w:val="0"/>
          <w:numId w:val="1"/>
        </w:numPr>
        <w:contextualSpacing/>
        <w:rPr>
          <w:lang w:val="en-US"/>
        </w:rPr>
      </w:pPr>
      <w:r w:rsidRPr="00FD5424">
        <w:rPr>
          <w:u w:val="single"/>
          <w:lang w:val="en-US"/>
        </w:rPr>
        <w:t>deprecate</w:t>
      </w:r>
      <w:r w:rsidRPr="00FD5424">
        <w:rPr>
          <w:lang w:val="en-US"/>
        </w:rPr>
        <w:t xml:space="preserve"> </w:t>
      </w:r>
      <w:r w:rsidRPr="00FD5424">
        <w:rPr>
          <w:b/>
          <w:lang w:val="en-US"/>
        </w:rPr>
        <w:t>R32</w:t>
      </w:r>
      <w:r w:rsidRPr="00FD5424">
        <w:rPr>
          <w:lang w:val="en-US"/>
        </w:rPr>
        <w:t>/</w:t>
      </w:r>
      <w:r w:rsidRPr="00FD5424">
        <w:rPr>
          <w:b/>
          <w:lang w:val="en-US"/>
        </w:rPr>
        <w:t>R37</w:t>
      </w:r>
      <w:r w:rsidRPr="00FD5424">
        <w:rPr>
          <w:lang w:val="en-US"/>
        </w:rPr>
        <w:t xml:space="preserve"> (migration path goes through R33) /</w:t>
      </w:r>
      <w:r w:rsidRPr="00FD5424">
        <w:rPr>
          <w:b/>
          <w:lang w:val="en-US"/>
        </w:rPr>
        <w:t>R55</w:t>
      </w:r>
      <w:r w:rsidRPr="00FD5424">
        <w:rPr>
          <w:lang w:val="en-US"/>
        </w:rPr>
        <w:t xml:space="preserve"> </w:t>
      </w:r>
    </w:p>
    <w:p w14:paraId="478B9316" w14:textId="77777777" w:rsidR="00FD5424" w:rsidRPr="00FD5424" w:rsidRDefault="00FD5424" w:rsidP="00FD5424">
      <w:pPr>
        <w:rPr>
          <w:lang w:val="en-US"/>
        </w:rPr>
      </w:pPr>
      <w:r w:rsidRPr="00FD5424">
        <w:rPr>
          <w:lang w:val="en-US"/>
        </w:rPr>
        <w:t>In favor: 11</w:t>
      </w:r>
      <w:r w:rsidRPr="00FD5424">
        <w:rPr>
          <w:lang w:val="en-US"/>
        </w:rPr>
        <w:br/>
        <w:t>Against: none</w:t>
      </w:r>
      <w:r w:rsidRPr="00FD5424">
        <w:rPr>
          <w:lang w:val="en-US"/>
        </w:rPr>
        <w:br/>
      </w:r>
      <w:r w:rsidRPr="00FD5424">
        <w:rPr>
          <w:b/>
          <w:bCs/>
          <w:lang w:val="en-US"/>
        </w:rPr>
        <w:t>Outcome</w:t>
      </w:r>
      <w:r w:rsidRPr="00FD5424">
        <w:rPr>
          <w:lang w:val="en-US"/>
        </w:rPr>
        <w:t>: passed</w:t>
      </w:r>
    </w:p>
    <w:p w14:paraId="5096911A" w14:textId="77777777" w:rsidR="00FD5424" w:rsidRPr="00FD5424" w:rsidRDefault="00FD5424" w:rsidP="00FD5424">
      <w:pPr>
        <w:rPr>
          <w:lang w:val="en-US"/>
        </w:rPr>
      </w:pPr>
      <w:r w:rsidRPr="00FD5424">
        <w:rPr>
          <w:b/>
          <w:bCs/>
          <w:lang w:val="en-US"/>
        </w:rPr>
        <w:t>HW</w:t>
      </w:r>
      <w:r w:rsidRPr="00FD5424">
        <w:rPr>
          <w:lang w:val="en-US"/>
        </w:rPr>
        <w:t>: PR to update the examples for F12 Nomen using the first example (</w:t>
      </w:r>
      <w:r w:rsidRPr="00FD5424">
        <w:rPr>
          <w:rFonts w:ascii="MS Gothic" w:eastAsia="MS Gothic" w:hAnsi="MS Gothic" w:cs="MS Gothic" w:hint="eastAsia"/>
          <w:color w:val="000000"/>
        </w:rPr>
        <w:t>杜甫</w:t>
      </w:r>
      <w:r w:rsidRPr="00FD5424">
        <w:rPr>
          <w:color w:val="000000"/>
          <w:lang w:val="en-US"/>
        </w:rPr>
        <w:t>’</w:t>
      </w:r>
      <w:r w:rsidRPr="00FD5424">
        <w:rPr>
          <w:lang w:val="en-US"/>
        </w:rPr>
        <w:t xml:space="preserve"> as the name for a Chinese poet of the 8</w:t>
      </w:r>
      <w:r w:rsidRPr="00FD5424">
        <w:rPr>
          <w:vertAlign w:val="superscript"/>
          <w:lang w:val="en-US"/>
        </w:rPr>
        <w:t>th</w:t>
      </w:r>
      <w:r w:rsidRPr="00FD5424">
        <w:rPr>
          <w:lang w:val="en-US"/>
        </w:rPr>
        <w:t xml:space="preserve"> century, rendered in simplified Chinese characters) as a template. </w:t>
      </w:r>
    </w:p>
    <w:p w14:paraId="3B4971AE" w14:textId="77777777" w:rsidR="00FD5424" w:rsidRPr="00FD5424" w:rsidRDefault="00FD5424" w:rsidP="00FD5424">
      <w:pPr>
        <w:pStyle w:val="Heading3"/>
        <w:rPr>
          <w:lang w:val="en-US"/>
        </w:rPr>
      </w:pPr>
      <w:r w:rsidRPr="00FD5424">
        <w:rPr>
          <w:lang w:val="en-US"/>
        </w:rPr>
        <w:t xml:space="preserve">R36 uses script conversion </w:t>
      </w:r>
    </w:p>
    <w:p w14:paraId="0B9AF4E2" w14:textId="77777777" w:rsidR="00FD5424" w:rsidRPr="00FD5424" w:rsidRDefault="00FD5424" w:rsidP="00FD5424">
      <w:pPr>
        <w:rPr>
          <w:lang w:val="en-US"/>
        </w:rPr>
      </w:pPr>
      <w:r w:rsidRPr="00FD5424">
        <w:rPr>
          <w:b/>
          <w:bCs/>
          <w:lang w:val="en-US"/>
        </w:rPr>
        <w:t>Proposal</w:t>
      </w:r>
      <w:r w:rsidRPr="00FD5424">
        <w:rPr>
          <w:lang w:val="en-US"/>
        </w:rPr>
        <w:t xml:space="preserve"> to change the domain of R36 from F35 to F12, delete the superproperty, change the scope-note accordingly and the presentation of the examples. </w:t>
      </w:r>
      <w:r w:rsidRPr="00FD5424">
        <w:rPr>
          <w:lang w:val="en-US"/>
        </w:rPr>
        <w:br/>
        <w:t xml:space="preserve">The template for examples is “Hui Deng” as the name of … (F12) </w:t>
      </w:r>
      <w:r w:rsidRPr="00FD5424">
        <w:rPr>
          <w:i/>
          <w:iCs/>
          <w:lang w:val="en-US"/>
        </w:rPr>
        <w:t>uses script conversion</w:t>
      </w:r>
      <w:r w:rsidRPr="00FD5424">
        <w:rPr>
          <w:lang w:val="en-US"/>
        </w:rPr>
        <w:t xml:space="preserve"> Pinyin (F36)</w:t>
      </w:r>
    </w:p>
    <w:p w14:paraId="52B13F51" w14:textId="77777777" w:rsidR="00FD5424" w:rsidRPr="00FD5424" w:rsidRDefault="00FD5424" w:rsidP="00FD5424">
      <w:pPr>
        <w:suppressAutoHyphens w:val="0"/>
        <w:spacing w:after="160" w:line="259" w:lineRule="auto"/>
        <w:rPr>
          <w:lang w:val="en-US"/>
        </w:rPr>
      </w:pPr>
      <w:r w:rsidRPr="00FD5424">
        <w:rPr>
          <w:b/>
          <w:bCs/>
          <w:lang w:val="en-US"/>
        </w:rPr>
        <w:t>Vote</w:t>
      </w:r>
      <w:r w:rsidRPr="00FD5424">
        <w:rPr>
          <w:lang w:val="en-US"/>
        </w:rPr>
        <w:t xml:space="preserve"> to accept the proposed changes in the definition of </w:t>
      </w:r>
      <w:r w:rsidRPr="00FD5424">
        <w:rPr>
          <w:b/>
          <w:lang w:val="en-US"/>
        </w:rPr>
        <w:t>R36 uses script conversion</w:t>
      </w:r>
      <w:r w:rsidRPr="00FD5424">
        <w:rPr>
          <w:lang w:val="en-US"/>
        </w:rPr>
        <w:br/>
        <w:t>In favor: 11</w:t>
      </w:r>
      <w:r w:rsidRPr="00FD5424">
        <w:rPr>
          <w:lang w:val="en-US"/>
        </w:rPr>
        <w:br/>
        <w:t>Against: none</w:t>
      </w:r>
      <w:r w:rsidRPr="00FD5424">
        <w:rPr>
          <w:lang w:val="en-US"/>
        </w:rPr>
        <w:br/>
      </w:r>
      <w:r w:rsidRPr="00FD5424">
        <w:rPr>
          <w:b/>
          <w:bCs/>
          <w:lang w:val="en-US"/>
        </w:rPr>
        <w:t>Outcome</w:t>
      </w:r>
      <w:r w:rsidRPr="00FD5424">
        <w:rPr>
          <w:lang w:val="en-US"/>
        </w:rPr>
        <w:t>: passed</w:t>
      </w:r>
    </w:p>
    <w:p w14:paraId="74D6EF9F" w14:textId="77777777" w:rsidR="00FD5424" w:rsidRPr="00FD5424" w:rsidRDefault="00FD5424" w:rsidP="00FD5424">
      <w:pPr>
        <w:suppressAutoHyphens w:val="0"/>
        <w:spacing w:after="160" w:line="259" w:lineRule="auto"/>
        <w:rPr>
          <w:lang w:val="en-US"/>
        </w:rPr>
      </w:pPr>
      <w:r w:rsidRPr="00FD5424">
        <w:rPr>
          <w:b/>
          <w:bCs/>
          <w:lang w:val="en-US"/>
        </w:rPr>
        <w:t>HW</w:t>
      </w:r>
      <w:r w:rsidRPr="00FD5424">
        <w:rPr>
          <w:lang w:val="en-US"/>
        </w:rPr>
        <w:t>: PR to redraft the examples according to the template.</w:t>
      </w:r>
    </w:p>
    <w:p w14:paraId="74B3A7DC" w14:textId="77777777" w:rsidR="00FD5424" w:rsidRPr="00FD5424" w:rsidRDefault="00FD5424" w:rsidP="00FD5424">
      <w:pPr>
        <w:pStyle w:val="Heading3"/>
        <w:rPr>
          <w:lang w:val="en-US"/>
        </w:rPr>
      </w:pPr>
      <w:r w:rsidRPr="00FD5424">
        <w:rPr>
          <w:lang w:val="en-US"/>
        </w:rPr>
        <w:t>R54 has nomen language</w:t>
      </w:r>
    </w:p>
    <w:p w14:paraId="2B3BA1ED" w14:textId="77777777" w:rsidR="00FD5424" w:rsidRPr="00FD5424" w:rsidRDefault="00FD5424" w:rsidP="00FD5424">
      <w:pPr>
        <w:rPr>
          <w:lang w:val="en-US"/>
        </w:rPr>
      </w:pPr>
      <w:r w:rsidRPr="00FD5424">
        <w:rPr>
          <w:b/>
          <w:bCs/>
          <w:lang w:val="en-US"/>
        </w:rPr>
        <w:t>Proposal</w:t>
      </w:r>
      <w:r w:rsidRPr="00FD5424">
        <w:rPr>
          <w:lang w:val="en-US"/>
        </w:rPr>
        <w:t>: change the domain of R54 from E35 to F12, change the label of the property to</w:t>
      </w:r>
      <w:r w:rsidRPr="00FD5424">
        <w:rPr>
          <w:i/>
          <w:iCs/>
          <w:lang w:val="en-US"/>
        </w:rPr>
        <w:t xml:space="preserve"> has language </w:t>
      </w:r>
      <w:r w:rsidRPr="00FD5424">
        <w:rPr>
          <w:lang w:val="en-US"/>
        </w:rPr>
        <w:t>(because the domain is set to F12), change its superproperty to P2 has type, fix the examples following this template</w:t>
      </w:r>
    </w:p>
    <w:p w14:paraId="29BFD671" w14:textId="77777777" w:rsidR="00FD5424" w:rsidRPr="00FD5424" w:rsidRDefault="00FD5424" w:rsidP="00FD5424">
      <w:pPr>
        <w:rPr>
          <w:lang w:val="en-US"/>
        </w:rPr>
      </w:pPr>
      <w:r w:rsidRPr="00FD5424">
        <w:rPr>
          <w:lang w:val="en-US"/>
        </w:rPr>
        <w:t>“The name ‘Colón Cristóbal’ as …. (F12)</w:t>
      </w:r>
      <w:r w:rsidRPr="00FD5424">
        <w:rPr>
          <w:i/>
          <w:iCs/>
          <w:lang w:val="en-US"/>
        </w:rPr>
        <w:t xml:space="preserve"> has language</w:t>
      </w:r>
      <w:r w:rsidRPr="00FD5424">
        <w:rPr>
          <w:lang w:val="en-US"/>
        </w:rPr>
        <w:t xml:space="preserve"> spa [Spanish] (E56)</w:t>
      </w:r>
    </w:p>
    <w:p w14:paraId="3F92829F" w14:textId="77777777" w:rsidR="00FD5424" w:rsidRPr="00FD5424" w:rsidRDefault="00FD5424" w:rsidP="00FD5424">
      <w:pPr>
        <w:suppressAutoHyphens w:val="0"/>
        <w:spacing w:after="160" w:line="259" w:lineRule="auto"/>
        <w:rPr>
          <w:lang w:val="en-US"/>
        </w:rPr>
      </w:pPr>
      <w:r w:rsidRPr="00FD5424">
        <w:rPr>
          <w:b/>
          <w:bCs/>
          <w:lang w:val="en-US"/>
        </w:rPr>
        <w:t>Vote</w:t>
      </w:r>
      <w:r w:rsidRPr="00FD5424">
        <w:rPr>
          <w:lang w:val="en-US"/>
        </w:rPr>
        <w:t xml:space="preserve"> for the proposal</w:t>
      </w:r>
      <w:r w:rsidRPr="00FD5424">
        <w:rPr>
          <w:lang w:val="en-US"/>
        </w:rPr>
        <w:br/>
        <w:t>In favor: 12</w:t>
      </w:r>
      <w:r w:rsidRPr="00FD5424">
        <w:rPr>
          <w:lang w:val="en-US"/>
        </w:rPr>
        <w:br/>
      </w:r>
      <w:r w:rsidRPr="00FD5424">
        <w:rPr>
          <w:lang w:val="en-US"/>
        </w:rPr>
        <w:lastRenderedPageBreak/>
        <w:t>Against: none</w:t>
      </w:r>
      <w:r w:rsidRPr="00FD5424">
        <w:rPr>
          <w:lang w:val="en-US"/>
        </w:rPr>
        <w:br/>
      </w:r>
      <w:r w:rsidRPr="00FD5424">
        <w:rPr>
          <w:b/>
          <w:bCs/>
          <w:lang w:val="en-US"/>
        </w:rPr>
        <w:t>Outcome</w:t>
      </w:r>
      <w:r w:rsidRPr="00FD5424">
        <w:rPr>
          <w:lang w:val="en-US"/>
        </w:rPr>
        <w:t>: passed</w:t>
      </w:r>
    </w:p>
    <w:p w14:paraId="72A9D1DE" w14:textId="77777777" w:rsidR="00FD5424" w:rsidRPr="00FD5424" w:rsidRDefault="00FD5424" w:rsidP="00FD5424">
      <w:pPr>
        <w:suppressAutoHyphens w:val="0"/>
        <w:spacing w:after="160" w:line="259" w:lineRule="auto"/>
        <w:rPr>
          <w:lang w:val="en-US"/>
        </w:rPr>
      </w:pPr>
      <w:r w:rsidRPr="00FD5424">
        <w:rPr>
          <w:b/>
          <w:bCs/>
          <w:lang w:val="en-US"/>
        </w:rPr>
        <w:t>HW</w:t>
      </w:r>
      <w:r w:rsidRPr="00FD5424">
        <w:rPr>
          <w:lang w:val="en-US"/>
        </w:rPr>
        <w:t>: PR to redraft the examples according to the template.</w:t>
      </w:r>
    </w:p>
    <w:p w14:paraId="77E5361E" w14:textId="77777777" w:rsidR="00FD5424" w:rsidRPr="00FD5424" w:rsidRDefault="00FD5424" w:rsidP="00FD5424">
      <w:pPr>
        <w:rPr>
          <w:lang w:val="en-US"/>
        </w:rPr>
      </w:pPr>
      <w:r w:rsidRPr="00FD5424">
        <w:rPr>
          <w:b/>
          <w:bCs/>
          <w:u w:val="single"/>
          <w:lang w:val="en-US"/>
        </w:rPr>
        <w:t>NOTE</w:t>
      </w:r>
      <w:r w:rsidRPr="00FD5424">
        <w:rPr>
          <w:lang w:val="en-US"/>
        </w:rPr>
        <w:t>: Check the examples in E56 –</w:t>
      </w:r>
      <w:hyperlink w:anchor="_[NEW_ISSUE]:_Style" w:history="1">
        <w:r w:rsidRPr="00FD5424">
          <w:rPr>
            <w:color w:val="0563C1" w:themeColor="hyperlink"/>
            <w:u w:val="single"/>
            <w:lang w:val="en-US"/>
          </w:rPr>
          <w:t>new issue</w:t>
        </w:r>
      </w:hyperlink>
      <w:r w:rsidRPr="00FD5424">
        <w:rPr>
          <w:lang w:val="en-US"/>
        </w:rPr>
        <w:t xml:space="preserve"> for CRMbase.</w:t>
      </w:r>
    </w:p>
    <w:p w14:paraId="2F5A227F" w14:textId="77777777" w:rsidR="00FD5424" w:rsidRPr="00FD5424" w:rsidRDefault="00FD5424" w:rsidP="00DD587E">
      <w:pPr>
        <w:pStyle w:val="Heading3"/>
        <w:rPr>
          <w:lang w:val="en-US"/>
        </w:rPr>
      </w:pPr>
      <w:r w:rsidRPr="00FD5424">
        <w:rPr>
          <w:lang w:val="en-US"/>
        </w:rPr>
        <w:t>R56 has related use</w:t>
      </w:r>
    </w:p>
    <w:p w14:paraId="2FEA36E2" w14:textId="77777777" w:rsidR="00FD5424" w:rsidRPr="00FD5424" w:rsidRDefault="00FD5424" w:rsidP="00DD587E">
      <w:pPr>
        <w:rPr>
          <w:lang w:val="en-US"/>
        </w:rPr>
      </w:pPr>
      <w:r w:rsidRPr="00FD5424">
        <w:rPr>
          <w:lang w:val="en-US"/>
        </w:rPr>
        <w:t xml:space="preserve">PR presented a proposal for changing the definition of R56. </w:t>
      </w:r>
    </w:p>
    <w:p w14:paraId="47484049" w14:textId="77777777" w:rsidR="00FD5424" w:rsidRPr="00FD5424" w:rsidRDefault="00FD5424" w:rsidP="00FD5424">
      <w:pPr>
        <w:rPr>
          <w:lang w:val="en-US"/>
        </w:rPr>
      </w:pPr>
      <w:r w:rsidRPr="00FD5424">
        <w:rPr>
          <w:b/>
          <w:bCs/>
          <w:lang w:val="en-US"/>
        </w:rPr>
        <w:t>Discussion points</w:t>
      </w:r>
      <w:r w:rsidRPr="00FD5424">
        <w:rPr>
          <w:lang w:val="en-US"/>
        </w:rPr>
        <w:t>:</w:t>
      </w:r>
    </w:p>
    <w:p w14:paraId="39D71599" w14:textId="77777777" w:rsidR="00FD5424" w:rsidRPr="00FD5424" w:rsidRDefault="00FD5424" w:rsidP="00FD5424">
      <w:pPr>
        <w:rPr>
          <w:lang w:val="en-US"/>
        </w:rPr>
      </w:pPr>
      <w:r w:rsidRPr="00FD5424">
        <w:rPr>
          <w:lang w:val="en-US"/>
        </w:rPr>
        <w:t xml:space="preserve">MD: relabel it to “has coreference”, and also make it more explicit in the scope note that the two instances of Nomen co-refer. </w:t>
      </w:r>
    </w:p>
    <w:p w14:paraId="0B6469B3" w14:textId="77777777" w:rsidR="00FD5424" w:rsidRPr="00FD5424" w:rsidRDefault="00FD5424" w:rsidP="00FD5424">
      <w:pPr>
        <w:rPr>
          <w:lang w:val="en-US"/>
        </w:rPr>
      </w:pPr>
      <w:r w:rsidRPr="00FD5424">
        <w:rPr>
          <w:lang w:val="en-US"/>
        </w:rPr>
        <w:t>Some editing took place</w:t>
      </w:r>
    </w:p>
    <w:p w14:paraId="2637A6B6" w14:textId="77777777" w:rsidR="00FD5424" w:rsidRPr="00FD5424" w:rsidRDefault="00FD5424" w:rsidP="00FD5424">
      <w:pPr>
        <w:rPr>
          <w:lang w:val="en-US"/>
        </w:rPr>
      </w:pPr>
      <w:r w:rsidRPr="00FD5424">
        <w:rPr>
          <w:lang w:val="en-US"/>
        </w:rPr>
        <w:t>SdS: suggested that PR review the text of the scope note and the examples in the light of R36 and the changes implemented there (especially the part re. the .1 property concerning the transliterations).</w:t>
      </w:r>
    </w:p>
    <w:p w14:paraId="40034DD0" w14:textId="5A6AC5E6" w:rsidR="00FD5424" w:rsidRPr="00FD5424" w:rsidRDefault="00FD5424" w:rsidP="00FD5424">
      <w:pPr>
        <w:suppressAutoHyphens w:val="0"/>
        <w:spacing w:after="160" w:line="259" w:lineRule="auto"/>
        <w:rPr>
          <w:lang w:val="en-US"/>
        </w:rPr>
      </w:pPr>
      <w:r w:rsidRPr="00FD5424">
        <w:rPr>
          <w:b/>
          <w:bCs/>
          <w:lang w:val="en-US"/>
        </w:rPr>
        <w:t>Decision</w:t>
      </w:r>
      <w:r w:rsidRPr="00FD5424">
        <w:rPr>
          <w:lang w:val="en-US"/>
        </w:rPr>
        <w:t xml:space="preserve">: </w:t>
      </w:r>
      <w:r w:rsidRPr="00FD5424">
        <w:rPr>
          <w:u w:val="single"/>
          <w:lang w:val="en-US"/>
        </w:rPr>
        <w:t>Postpone until next SIG meeting</w:t>
      </w:r>
      <w:r w:rsidRPr="00FD5424">
        <w:rPr>
          <w:lang w:val="en-US"/>
        </w:rPr>
        <w:t xml:space="preserve">. We have left things as are documented </w:t>
      </w:r>
      <w:hyperlink w:anchor="_R56_has_related_1" w:history="1">
        <w:r w:rsidR="00DD587E" w:rsidRPr="00DD587E">
          <w:rPr>
            <w:rStyle w:val="Hyperlink"/>
            <w:lang w:val="en-US"/>
          </w:rPr>
          <w:t>below</w:t>
        </w:r>
      </w:hyperlink>
      <w:r w:rsidR="00DD587E">
        <w:rPr>
          <w:lang w:val="en-US"/>
        </w:rPr>
        <w:t xml:space="preserve"> </w:t>
      </w:r>
      <w:r w:rsidRPr="00FD5424">
        <w:rPr>
          <w:lang w:val="en-US"/>
        </w:rPr>
        <w:t>(without having reached a decision for R56 that is). In the next sig we’ll need to assign more than one session for LRMoo.</w:t>
      </w:r>
    </w:p>
    <w:p w14:paraId="59CCF928" w14:textId="55B7AF95" w:rsidR="00FD5424" w:rsidRDefault="00FD5424" w:rsidP="00FD5424">
      <w:pPr>
        <w:suppressAutoHyphens w:val="0"/>
        <w:spacing w:after="160" w:line="259" w:lineRule="auto"/>
        <w:rPr>
          <w:lang w:val="en-US"/>
        </w:rPr>
      </w:pPr>
      <w:r w:rsidRPr="00FD5424">
        <w:rPr>
          <w:b/>
          <w:bCs/>
          <w:lang w:val="en-US"/>
        </w:rPr>
        <w:t>HW</w:t>
      </w:r>
      <w:r w:rsidRPr="00FD5424">
        <w:rPr>
          <w:lang w:val="en-US"/>
        </w:rPr>
        <w:t xml:space="preserve"> to PR to double check according to the suggestions made. Also, share the google doc where open issues for LRM are laid out with the rest of the SIG asking for comments. </w:t>
      </w:r>
    </w:p>
    <w:p w14:paraId="2D7114F8" w14:textId="77777777" w:rsidR="00DD587E" w:rsidRPr="00FD5424" w:rsidRDefault="00DD587E" w:rsidP="00DD587E">
      <w:pPr>
        <w:pStyle w:val="Heading4"/>
        <w:rPr>
          <w:lang w:val="en-US"/>
        </w:rPr>
      </w:pPr>
      <w:bookmarkStart w:id="7" w:name="_R56_has_related_1"/>
      <w:bookmarkEnd w:id="7"/>
      <w:r w:rsidRPr="00FD5424">
        <w:rPr>
          <w:lang w:val="en-US"/>
        </w:rPr>
        <w:t>R56 has related use</w:t>
      </w:r>
    </w:p>
    <w:p w14:paraId="663E3ECB"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Domain: </w:t>
      </w:r>
      <w:r w:rsidRPr="00FD5424">
        <w:rPr>
          <w:rFonts w:ascii="Times New Roman" w:hAnsi="Times New Roman" w:cs="Times New Roman"/>
          <w:lang w:val="en-US"/>
        </w:rPr>
        <w:tab/>
      </w:r>
      <w:hyperlink r:id="rId17" w:anchor="heading=h.2et92p0" w:history="1">
        <w:r w:rsidRPr="00FD5424">
          <w:rPr>
            <w:rFonts w:ascii="Times New Roman" w:hAnsi="Times New Roman" w:cs="Times New Roman"/>
            <w:color w:val="0563C1" w:themeColor="hyperlink"/>
            <w:u w:val="single"/>
            <w:lang w:val="en-US"/>
          </w:rPr>
          <w:t>F12</w:t>
        </w:r>
      </w:hyperlink>
      <w:r w:rsidRPr="00FD5424">
        <w:rPr>
          <w:rFonts w:ascii="Times New Roman" w:hAnsi="Times New Roman" w:cs="Times New Roman"/>
          <w:lang w:val="en-US"/>
        </w:rPr>
        <w:t xml:space="preserve"> Nomen</w:t>
      </w:r>
    </w:p>
    <w:p w14:paraId="7CFBD446"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Range:</w:t>
      </w:r>
      <w:r w:rsidRPr="00FD5424">
        <w:rPr>
          <w:rFonts w:ascii="Times New Roman" w:hAnsi="Times New Roman" w:cs="Times New Roman"/>
          <w:lang w:val="en-US"/>
        </w:rPr>
        <w:tab/>
      </w:r>
      <w:r w:rsidRPr="00FD5424">
        <w:rPr>
          <w:rFonts w:ascii="Times New Roman" w:hAnsi="Times New Roman" w:cs="Times New Roman"/>
          <w:lang w:val="en-US"/>
        </w:rPr>
        <w:tab/>
      </w:r>
      <w:hyperlink r:id="rId18" w:anchor="heading=h.2et92p0" w:history="1">
        <w:r w:rsidRPr="00FD5424">
          <w:rPr>
            <w:rFonts w:ascii="Times New Roman" w:hAnsi="Times New Roman" w:cs="Times New Roman"/>
            <w:color w:val="0563C1" w:themeColor="hyperlink"/>
            <w:u w:val="single"/>
            <w:lang w:val="en-US"/>
          </w:rPr>
          <w:t>F12</w:t>
        </w:r>
      </w:hyperlink>
      <w:r w:rsidRPr="00FD5424">
        <w:rPr>
          <w:rFonts w:ascii="Times New Roman" w:hAnsi="Times New Roman" w:cs="Times New Roman"/>
          <w:lang w:val="en-US"/>
        </w:rPr>
        <w:t xml:space="preserve"> Nomen</w:t>
      </w:r>
    </w:p>
    <w:p w14:paraId="640B7C29"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Subproperty of:</w:t>
      </w:r>
      <w:r w:rsidRPr="00FD5424">
        <w:rPr>
          <w:rFonts w:ascii="Times New Roman" w:hAnsi="Times New Roman" w:cs="Times New Roman"/>
          <w:lang w:val="en-US"/>
        </w:rPr>
        <w:tab/>
        <w:t>(none)</w:t>
      </w:r>
    </w:p>
    <w:p w14:paraId="27A71F1E"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Shortcut of:</w:t>
      </w:r>
      <w:r w:rsidRPr="00FD5424">
        <w:rPr>
          <w:rFonts w:ascii="Times New Roman" w:hAnsi="Times New Roman" w:cs="Times New Roman"/>
          <w:lang w:val="en-US"/>
        </w:rPr>
        <w:tab/>
        <w:t xml:space="preserve">E89 Propositional Object (1) </w:t>
      </w:r>
      <w:r w:rsidRPr="00FD5424">
        <w:rPr>
          <w:rFonts w:ascii="Times New Roman" w:hAnsi="Times New Roman" w:cs="Times New Roman"/>
          <w:i/>
          <w:iCs/>
          <w:lang w:val="en-US"/>
        </w:rPr>
        <w:t>P1i identifies</w:t>
      </w:r>
      <w:r w:rsidRPr="00FD5424">
        <w:rPr>
          <w:rFonts w:ascii="Times New Roman" w:hAnsi="Times New Roman" w:cs="Times New Roman"/>
          <w:lang w:val="en-US"/>
        </w:rPr>
        <w:t xml:space="preserve">: E1 CRM Entity </w:t>
      </w:r>
      <w:r w:rsidRPr="00FD5424">
        <w:rPr>
          <w:rFonts w:ascii="Times New Roman" w:hAnsi="Times New Roman" w:cs="Times New Roman"/>
          <w:i/>
          <w:iCs/>
          <w:lang w:val="en-US"/>
        </w:rPr>
        <w:t>P1i is identified by:</w:t>
      </w:r>
      <w:r w:rsidRPr="00FD5424">
        <w:rPr>
          <w:rFonts w:ascii="Times New Roman" w:hAnsi="Times New Roman" w:cs="Times New Roman"/>
          <w:lang w:val="en-US"/>
        </w:rPr>
        <w:t xml:space="preserve"> E89 Propositional Object (2)</w:t>
      </w:r>
    </w:p>
    <w:p w14:paraId="51617CCB"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Quantification:</w:t>
      </w:r>
      <w:r w:rsidRPr="00FD5424">
        <w:rPr>
          <w:rFonts w:ascii="Times New Roman" w:hAnsi="Times New Roman" w:cs="Times New Roman"/>
          <w:lang w:val="en-US"/>
        </w:rPr>
        <w:tab/>
        <w:t>(0,n:0,n)</w:t>
      </w:r>
    </w:p>
    <w:p w14:paraId="23FD48BF"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Scope note:</w:t>
      </w:r>
      <w:r w:rsidRPr="00FD5424">
        <w:rPr>
          <w:rFonts w:ascii="Times New Roman" w:hAnsi="Times New Roman" w:cs="Times New Roman"/>
          <w:lang w:val="en-US"/>
        </w:rPr>
        <w:tab/>
        <w:t>This property associates an instance of F12 Nomen with another instance of F12 Nomen, which co-refers to the same instance of E1 CRM Entity. In addition, the nomens may be related in some context, such as replacing former use, etc.. This property is transitive. </w:t>
      </w:r>
    </w:p>
    <w:p w14:paraId="46DC886D"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The property R56.1 allows for specifying the particular kind of relationship that holds between the content (the associated instances of E62 String) of the domain nomen and the range nomen, such as by being a derivation, an alternative, a lexical variant, etc. Typing the association may introduce a meaning of the inverse direction which may cause loss of transitivity.</w:t>
      </w:r>
    </w:p>
    <w:p w14:paraId="156A8A8D" w14:textId="77777777" w:rsidR="00DD587E" w:rsidRPr="00FD5424" w:rsidRDefault="00DD587E" w:rsidP="00DD587E">
      <w:pPr>
        <w:rPr>
          <w:rFonts w:ascii="Times New Roman" w:hAnsi="Times New Roman" w:cs="Times New Roman"/>
          <w:lang w:val="en-US"/>
        </w:rPr>
      </w:pPr>
    </w:p>
    <w:p w14:paraId="33520B9B"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Examples:</w:t>
      </w:r>
      <w:r w:rsidRPr="00FD5424">
        <w:rPr>
          <w:rFonts w:ascii="Times New Roman" w:hAnsi="Times New Roman" w:cs="Times New Roman"/>
          <w:lang w:val="en-US"/>
        </w:rPr>
        <w:tab/>
        <w:t xml:space="preserve">‘Čajkovskij, Petr Ilʹič’ (F12) </w:t>
      </w:r>
      <w:r w:rsidRPr="00FD5424">
        <w:rPr>
          <w:rFonts w:ascii="Times New Roman" w:hAnsi="Times New Roman" w:cs="Times New Roman"/>
          <w:i/>
          <w:iCs/>
          <w:lang w:val="en-US"/>
        </w:rPr>
        <w:t>is related to</w:t>
      </w:r>
      <w:r w:rsidRPr="00FD5424">
        <w:rPr>
          <w:rFonts w:ascii="Times New Roman" w:hAnsi="Times New Roman" w:cs="Times New Roman"/>
          <w:lang w:val="en-US"/>
        </w:rPr>
        <w:t xml:space="preserve"> ‘Пётр Ильич Чайковский’ (F12), with </w:t>
      </w:r>
      <w:r w:rsidRPr="00FD5424">
        <w:rPr>
          <w:rFonts w:ascii="Times New Roman" w:hAnsi="Times New Roman" w:cs="Times New Roman"/>
          <w:i/>
          <w:iCs/>
          <w:lang w:val="en-US"/>
        </w:rPr>
        <w:t>has type</w:t>
      </w:r>
      <w:r w:rsidRPr="00FD5424">
        <w:rPr>
          <w:rFonts w:ascii="Times New Roman" w:hAnsi="Times New Roman" w:cs="Times New Roman"/>
          <w:lang w:val="en-US"/>
        </w:rPr>
        <w:t xml:space="preserve"> transliteration (E55).</w:t>
      </w:r>
    </w:p>
    <w:p w14:paraId="6D93FE9D"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 xml:space="preserve">‘The Lord of the Rings’ (F12) </w:t>
      </w:r>
      <w:r w:rsidRPr="00FD5424">
        <w:rPr>
          <w:rFonts w:ascii="Times New Roman" w:hAnsi="Times New Roman" w:cs="Times New Roman"/>
          <w:i/>
          <w:iCs/>
          <w:lang w:val="en-US"/>
        </w:rPr>
        <w:t>is related to</w:t>
      </w:r>
      <w:r w:rsidRPr="00FD5424">
        <w:rPr>
          <w:rFonts w:ascii="Times New Roman" w:hAnsi="Times New Roman" w:cs="Times New Roman"/>
          <w:lang w:val="en-US"/>
        </w:rPr>
        <w:t xml:space="preserve"> ‘Le Seigneur des anneaux’ (F12), with </w:t>
      </w:r>
      <w:r w:rsidRPr="00FD5424">
        <w:rPr>
          <w:rFonts w:ascii="Times New Roman" w:hAnsi="Times New Roman" w:cs="Times New Roman"/>
          <w:i/>
          <w:iCs/>
          <w:lang w:val="en-US"/>
        </w:rPr>
        <w:t>has type</w:t>
      </w:r>
      <w:r w:rsidRPr="00FD5424">
        <w:rPr>
          <w:rFonts w:ascii="Times New Roman" w:hAnsi="Times New Roman" w:cs="Times New Roman"/>
          <w:lang w:val="en-US"/>
        </w:rPr>
        <w:t xml:space="preserve"> original language (E55).</w:t>
      </w:r>
    </w:p>
    <w:p w14:paraId="619BCDE9"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lastRenderedPageBreak/>
        <w:t xml:space="preserve">‘IFLA’ (F12) </w:t>
      </w:r>
      <w:r w:rsidRPr="00FD5424">
        <w:rPr>
          <w:rFonts w:ascii="Times New Roman" w:hAnsi="Times New Roman" w:cs="Times New Roman"/>
          <w:i/>
          <w:iCs/>
          <w:lang w:val="en-US"/>
        </w:rPr>
        <w:t>is related to</w:t>
      </w:r>
      <w:r w:rsidRPr="00FD5424">
        <w:rPr>
          <w:rFonts w:ascii="Times New Roman" w:hAnsi="Times New Roman" w:cs="Times New Roman"/>
          <w:lang w:val="en-US"/>
        </w:rPr>
        <w:t xml:space="preserve"> ‘International Federation of Library Associations and Institutions’' (F12), with </w:t>
      </w:r>
      <w:r w:rsidRPr="00FD5424">
        <w:rPr>
          <w:rFonts w:ascii="Times New Roman" w:hAnsi="Times New Roman" w:cs="Times New Roman"/>
          <w:i/>
          <w:iCs/>
          <w:lang w:val="en-US"/>
        </w:rPr>
        <w:t>has type</w:t>
      </w:r>
      <w:r w:rsidRPr="00FD5424">
        <w:rPr>
          <w:rFonts w:ascii="Times New Roman" w:hAnsi="Times New Roman" w:cs="Times New Roman"/>
          <w:lang w:val="en-US"/>
        </w:rPr>
        <w:t xml:space="preserve"> acronym.</w:t>
      </w:r>
    </w:p>
    <w:p w14:paraId="31374DAB"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ab/>
        <w:t xml:space="preserve">‘Siam’ (F12) </w:t>
      </w:r>
      <w:r w:rsidRPr="00FD5424">
        <w:rPr>
          <w:rFonts w:ascii="Times New Roman" w:hAnsi="Times New Roman" w:cs="Times New Roman"/>
          <w:i/>
          <w:iCs/>
          <w:lang w:val="en-US"/>
        </w:rPr>
        <w:t>is related to</w:t>
      </w:r>
      <w:r w:rsidRPr="00FD5424">
        <w:rPr>
          <w:rFonts w:ascii="Times New Roman" w:hAnsi="Times New Roman" w:cs="Times New Roman"/>
          <w:lang w:val="en-US"/>
        </w:rPr>
        <w:t xml:space="preserve"> ‘Thailand’ (F12).</w:t>
      </w:r>
    </w:p>
    <w:p w14:paraId="31AB73C9"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 xml:space="preserve">‘595.7’ (F12) </w:t>
      </w:r>
      <w:r w:rsidRPr="00FD5424">
        <w:rPr>
          <w:rFonts w:ascii="Times New Roman" w:hAnsi="Times New Roman" w:cs="Times New Roman"/>
          <w:i/>
          <w:iCs/>
          <w:lang w:val="en-US"/>
        </w:rPr>
        <w:t>is related to</w:t>
      </w:r>
      <w:r w:rsidRPr="00FD5424">
        <w:rPr>
          <w:rFonts w:ascii="Times New Roman" w:hAnsi="Times New Roman" w:cs="Times New Roman"/>
          <w:lang w:val="en-US"/>
        </w:rPr>
        <w:t xml:space="preserve"> ‘Insecta’ (F12). [The latter being the caption for the Dewey Decimal Classification number in the English language 23</w:t>
      </w:r>
      <w:r w:rsidRPr="00FD5424">
        <w:rPr>
          <w:rFonts w:ascii="Times New Roman" w:hAnsi="Times New Roman" w:cs="Times New Roman"/>
          <w:vertAlign w:val="superscript"/>
          <w:lang w:val="en-US"/>
        </w:rPr>
        <w:t>rd</w:t>
      </w:r>
      <w:r w:rsidRPr="00FD5424">
        <w:rPr>
          <w:rFonts w:ascii="Times New Roman" w:hAnsi="Times New Roman" w:cs="Times New Roman"/>
          <w:lang w:val="en-US"/>
        </w:rPr>
        <w:t xml:space="preserve"> edition.] </w:t>
      </w:r>
    </w:p>
    <w:p w14:paraId="1985B79E" w14:textId="77777777" w:rsidR="00DD587E" w:rsidRPr="00FD5424" w:rsidRDefault="00DD587E" w:rsidP="00DD587E">
      <w:pPr>
        <w:rPr>
          <w:rFonts w:ascii="Times New Roman" w:hAnsi="Times New Roman" w:cs="Times New Roman"/>
          <w:lang w:val="en-US"/>
        </w:rPr>
      </w:pPr>
    </w:p>
    <w:p w14:paraId="39E1FAD2" w14:textId="77777777" w:rsidR="00DD587E" w:rsidRPr="00FD5424" w:rsidRDefault="00DD587E" w:rsidP="00DD587E">
      <w:pPr>
        <w:rPr>
          <w:rFonts w:ascii="Times New Roman" w:hAnsi="Times New Roman" w:cs="Times New Roman"/>
          <w:lang w:val="en-US"/>
        </w:rPr>
      </w:pPr>
      <w:r w:rsidRPr="00FD5424">
        <w:rPr>
          <w:rFonts w:ascii="Times New Roman" w:hAnsi="Times New Roman" w:cs="Times New Roman"/>
          <w:lang w:val="en-US"/>
        </w:rPr>
        <w:t xml:space="preserve">Properties:           R56.1 has type: </w:t>
      </w:r>
      <w:hyperlink r:id="rId19" w:anchor="heading=h.3znysh7" w:history="1">
        <w:r w:rsidRPr="00FD5424">
          <w:rPr>
            <w:rFonts w:ascii="Times New Roman" w:hAnsi="Times New Roman" w:cs="Times New Roman"/>
            <w:color w:val="0563C1" w:themeColor="hyperlink"/>
            <w:u w:val="single"/>
            <w:lang w:val="en-US"/>
          </w:rPr>
          <w:t>E55</w:t>
        </w:r>
      </w:hyperlink>
      <w:r w:rsidRPr="00FD5424">
        <w:rPr>
          <w:rFonts w:ascii="Times New Roman" w:hAnsi="Times New Roman" w:cs="Times New Roman"/>
          <w:lang w:val="en-US"/>
        </w:rPr>
        <w:t xml:space="preserve"> Type</w:t>
      </w:r>
    </w:p>
    <w:p w14:paraId="02D7D773" w14:textId="77777777" w:rsidR="00DD587E" w:rsidRPr="00FD5424" w:rsidRDefault="00DD587E" w:rsidP="00FD5424">
      <w:pPr>
        <w:suppressAutoHyphens w:val="0"/>
        <w:spacing w:after="160" w:line="259" w:lineRule="auto"/>
        <w:rPr>
          <w:lang w:val="en-US"/>
        </w:rPr>
      </w:pPr>
    </w:p>
    <w:p w14:paraId="0C11D478" w14:textId="77777777" w:rsidR="00A458C8" w:rsidRPr="00FD5424" w:rsidRDefault="00A458C8" w:rsidP="00FD5424">
      <w:pPr>
        <w:rPr>
          <w:lang w:val="en-US"/>
        </w:rPr>
      </w:pPr>
    </w:p>
    <w:sectPr w:rsidR="00A458C8" w:rsidRPr="00FD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D49C8"/>
    <w:multiLevelType w:val="hybridMultilevel"/>
    <w:tmpl w:val="9E965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5910AA"/>
    <w:multiLevelType w:val="multilevel"/>
    <w:tmpl w:val="1812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17556"/>
    <w:multiLevelType w:val="multilevel"/>
    <w:tmpl w:val="474A3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21AA5"/>
    <w:multiLevelType w:val="hybridMultilevel"/>
    <w:tmpl w:val="B742F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F2"/>
    <w:rsid w:val="00101EFF"/>
    <w:rsid w:val="001610BE"/>
    <w:rsid w:val="00343554"/>
    <w:rsid w:val="003E6363"/>
    <w:rsid w:val="004749BF"/>
    <w:rsid w:val="00694415"/>
    <w:rsid w:val="00723EF2"/>
    <w:rsid w:val="00825A6A"/>
    <w:rsid w:val="0086270E"/>
    <w:rsid w:val="00A458C8"/>
    <w:rsid w:val="00A47BEA"/>
    <w:rsid w:val="00CF522C"/>
    <w:rsid w:val="00D90C2E"/>
    <w:rsid w:val="00DD587E"/>
    <w:rsid w:val="00FD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CEEC"/>
  <w15:chartTrackingRefBased/>
  <w15:docId w15:val="{0E45737C-D428-4E9E-9289-81489DBF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F2"/>
    <w:pPr>
      <w:suppressAutoHyphens/>
      <w:spacing w:after="120" w:line="300" w:lineRule="atLeast"/>
    </w:pPr>
    <w:rPr>
      <w:rFonts w:cs="Verdana"/>
      <w:sz w:val="20"/>
      <w:szCs w:val="20"/>
      <w:lang w:val="el-GR" w:eastAsia="ar-SA"/>
    </w:rPr>
  </w:style>
  <w:style w:type="paragraph" w:styleId="Heading1">
    <w:name w:val="heading 1"/>
    <w:basedOn w:val="Normal"/>
    <w:next w:val="Normal"/>
    <w:link w:val="Heading1Char"/>
    <w:uiPriority w:val="9"/>
    <w:qFormat/>
    <w:rsid w:val="00723E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3E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3EF2"/>
    <w:pPr>
      <w:keepNext/>
      <w:keepLines/>
      <w:spacing w:before="36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23E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23E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n">
    <w:name w:val="Fn"/>
    <w:basedOn w:val="FootnoteText"/>
    <w:link w:val="FnChar"/>
    <w:autoRedefine/>
    <w:qFormat/>
    <w:rsid w:val="00694415"/>
    <w:rPr>
      <w:sz w:val="18"/>
      <w:szCs w:val="22"/>
    </w:rPr>
  </w:style>
  <w:style w:type="character" w:customStyle="1" w:styleId="FnChar">
    <w:name w:val="Fn Char"/>
    <w:basedOn w:val="FootnoteTextChar"/>
    <w:link w:val="Fn"/>
    <w:rsid w:val="00694415"/>
    <w:rPr>
      <w:rFonts w:cs="Verdana"/>
      <w:sz w:val="18"/>
      <w:szCs w:val="20"/>
      <w:lang w:val="el-GR" w:eastAsia="ar-SA"/>
    </w:rPr>
  </w:style>
  <w:style w:type="paragraph" w:styleId="FootnoteText">
    <w:name w:val="footnote text"/>
    <w:basedOn w:val="Normal"/>
    <w:link w:val="FootnoteTextChar"/>
    <w:autoRedefine/>
    <w:qFormat/>
    <w:rsid w:val="00101EFF"/>
  </w:style>
  <w:style w:type="character" w:customStyle="1" w:styleId="FootnoteTextChar">
    <w:name w:val="Footnote Text Char"/>
    <w:basedOn w:val="DefaultParagraphFont"/>
    <w:link w:val="FootnoteText"/>
    <w:rsid w:val="00101EFF"/>
    <w:rPr>
      <w:rFonts w:cs="Verdana"/>
      <w:sz w:val="20"/>
      <w:szCs w:val="20"/>
      <w:lang w:val="el-GR" w:eastAsia="ar-SA"/>
    </w:rPr>
  </w:style>
  <w:style w:type="paragraph" w:customStyle="1" w:styleId="Footnotes">
    <w:name w:val="Footnotes"/>
    <w:basedOn w:val="FootnoteText"/>
    <w:link w:val="FootnotesChar"/>
    <w:autoRedefine/>
    <w:qFormat/>
    <w:rsid w:val="00825A6A"/>
    <w:rPr>
      <w:szCs w:val="22"/>
    </w:rPr>
  </w:style>
  <w:style w:type="character" w:customStyle="1" w:styleId="FootnotesChar">
    <w:name w:val="Footnotes Char"/>
    <w:basedOn w:val="FootnoteTextChar"/>
    <w:link w:val="Footnotes"/>
    <w:rsid w:val="00825A6A"/>
    <w:rPr>
      <w:rFonts w:ascii="Calibri" w:hAnsi="Calibri" w:cs="Verdana"/>
      <w:sz w:val="20"/>
      <w:szCs w:val="20"/>
      <w:lang w:val="el-GR" w:eastAsia="ar-SA"/>
    </w:rPr>
  </w:style>
  <w:style w:type="character" w:customStyle="1" w:styleId="Heading3Char">
    <w:name w:val="Heading 3 Char"/>
    <w:basedOn w:val="DefaultParagraphFont"/>
    <w:link w:val="Heading3"/>
    <w:uiPriority w:val="9"/>
    <w:rsid w:val="00723EF2"/>
    <w:rPr>
      <w:rFonts w:asciiTheme="majorHAnsi" w:eastAsiaTheme="majorEastAsia" w:hAnsiTheme="majorHAnsi" w:cstheme="majorBidi"/>
      <w:color w:val="1F4D78" w:themeColor="accent1" w:themeShade="7F"/>
      <w:sz w:val="24"/>
      <w:szCs w:val="24"/>
      <w:lang w:val="el-GR" w:eastAsia="ar-SA"/>
    </w:rPr>
  </w:style>
  <w:style w:type="character" w:customStyle="1" w:styleId="Heading4Char">
    <w:name w:val="Heading 4 Char"/>
    <w:basedOn w:val="DefaultParagraphFont"/>
    <w:link w:val="Heading4"/>
    <w:uiPriority w:val="9"/>
    <w:rsid w:val="00723EF2"/>
    <w:rPr>
      <w:rFonts w:asciiTheme="majorHAnsi" w:eastAsiaTheme="majorEastAsia" w:hAnsiTheme="majorHAnsi" w:cstheme="majorBidi"/>
      <w:i/>
      <w:iCs/>
      <w:color w:val="2E74B5" w:themeColor="accent1" w:themeShade="BF"/>
      <w:sz w:val="20"/>
      <w:szCs w:val="20"/>
      <w:lang w:val="el-GR" w:eastAsia="ar-SA"/>
    </w:rPr>
  </w:style>
  <w:style w:type="character" w:customStyle="1" w:styleId="Heading5Char">
    <w:name w:val="Heading 5 Char"/>
    <w:basedOn w:val="DefaultParagraphFont"/>
    <w:link w:val="Heading5"/>
    <w:uiPriority w:val="9"/>
    <w:rsid w:val="00723EF2"/>
    <w:rPr>
      <w:rFonts w:asciiTheme="majorHAnsi" w:eastAsiaTheme="majorEastAsia" w:hAnsiTheme="majorHAnsi" w:cstheme="majorBidi"/>
      <w:color w:val="2E74B5" w:themeColor="accent1" w:themeShade="BF"/>
      <w:sz w:val="20"/>
      <w:szCs w:val="20"/>
      <w:lang w:val="el-GR" w:eastAsia="ar-SA"/>
    </w:rPr>
  </w:style>
  <w:style w:type="character" w:styleId="Hyperlink">
    <w:name w:val="Hyperlink"/>
    <w:basedOn w:val="DefaultParagraphFont"/>
    <w:uiPriority w:val="99"/>
    <w:unhideWhenUsed/>
    <w:rsid w:val="00723EF2"/>
    <w:rPr>
      <w:color w:val="0563C1" w:themeColor="hyperlink"/>
      <w:u w:val="single"/>
    </w:rPr>
  </w:style>
  <w:style w:type="paragraph" w:styleId="ListParagraph">
    <w:name w:val="List Paragraph"/>
    <w:basedOn w:val="Normal"/>
    <w:uiPriority w:val="34"/>
    <w:qFormat/>
    <w:rsid w:val="00723EF2"/>
    <w:pPr>
      <w:ind w:left="720"/>
      <w:contextualSpacing/>
    </w:pPr>
  </w:style>
  <w:style w:type="character" w:customStyle="1" w:styleId="Heading1Char">
    <w:name w:val="Heading 1 Char"/>
    <w:basedOn w:val="DefaultParagraphFont"/>
    <w:link w:val="Heading1"/>
    <w:uiPriority w:val="9"/>
    <w:rsid w:val="00723EF2"/>
    <w:rPr>
      <w:rFonts w:asciiTheme="majorHAnsi" w:eastAsiaTheme="majorEastAsia" w:hAnsiTheme="majorHAnsi" w:cstheme="majorBidi"/>
      <w:color w:val="2E74B5" w:themeColor="accent1" w:themeShade="BF"/>
      <w:sz w:val="32"/>
      <w:szCs w:val="32"/>
      <w:lang w:val="el-GR" w:eastAsia="ar-SA"/>
    </w:rPr>
  </w:style>
  <w:style w:type="character" w:customStyle="1" w:styleId="Heading2Char">
    <w:name w:val="Heading 2 Char"/>
    <w:basedOn w:val="DefaultParagraphFont"/>
    <w:link w:val="Heading2"/>
    <w:uiPriority w:val="9"/>
    <w:rsid w:val="00723EF2"/>
    <w:rPr>
      <w:rFonts w:asciiTheme="majorHAnsi" w:eastAsiaTheme="majorEastAsia" w:hAnsiTheme="majorHAnsi" w:cstheme="majorBidi"/>
      <w:color w:val="2E74B5" w:themeColor="accent1" w:themeShade="BF"/>
      <w:sz w:val="26"/>
      <w:szCs w:val="26"/>
      <w:lang w:val="el-GR" w:eastAsia="ar-SA"/>
    </w:rPr>
  </w:style>
  <w:style w:type="character" w:styleId="CommentReference">
    <w:name w:val="annotation reference"/>
    <w:basedOn w:val="DefaultParagraphFont"/>
    <w:uiPriority w:val="99"/>
    <w:semiHidden/>
    <w:unhideWhenUsed/>
    <w:rsid w:val="00FD5424"/>
    <w:rPr>
      <w:sz w:val="16"/>
      <w:szCs w:val="16"/>
    </w:rPr>
  </w:style>
  <w:style w:type="paragraph" w:styleId="CommentText">
    <w:name w:val="annotation text"/>
    <w:basedOn w:val="Normal"/>
    <w:link w:val="CommentTextChar"/>
    <w:uiPriority w:val="99"/>
    <w:semiHidden/>
    <w:unhideWhenUsed/>
    <w:rsid w:val="00FD5424"/>
    <w:pPr>
      <w:spacing w:line="240" w:lineRule="auto"/>
    </w:pPr>
  </w:style>
  <w:style w:type="character" w:customStyle="1" w:styleId="CommentTextChar">
    <w:name w:val="Comment Text Char"/>
    <w:basedOn w:val="DefaultParagraphFont"/>
    <w:link w:val="CommentText"/>
    <w:uiPriority w:val="99"/>
    <w:semiHidden/>
    <w:rsid w:val="00FD5424"/>
    <w:rPr>
      <w:rFonts w:cs="Verdana"/>
      <w:sz w:val="20"/>
      <w:szCs w:val="20"/>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14449">
      <w:bodyDiv w:val="1"/>
      <w:marLeft w:val="0"/>
      <w:marRight w:val="0"/>
      <w:marTop w:val="0"/>
      <w:marBottom w:val="0"/>
      <w:divBdr>
        <w:top w:val="none" w:sz="0" w:space="0" w:color="auto"/>
        <w:left w:val="none" w:sz="0" w:space="0" w:color="auto"/>
        <w:bottom w:val="none" w:sz="0" w:space="0" w:color="auto"/>
        <w:right w:val="none" w:sz="0" w:space="0" w:color="auto"/>
      </w:divBdr>
    </w:div>
    <w:div w:id="16046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G3HUK3EWt3-ARVkhyzB_RK1DSiOsrggPv8O_APSXBA/edit" TargetMode="External"/><Relationship Id="rId13" Type="http://schemas.openxmlformats.org/officeDocument/2006/relationships/hyperlink" Target="https://docs.google.com/document/d/1rIyPpTHyaBByTa3mBJgpJ4do6Cayyj0E1bhEWwMWZzg/edit" TargetMode="External"/><Relationship Id="rId18" Type="http://schemas.openxmlformats.org/officeDocument/2006/relationships/hyperlink" Target="https://docs.google.com/document/d/1_cI2L7dkV32hEyKbLOgFOlURt412lsYleX9wvz-hslE/ed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d/12G3HUK3EWt3-ARVkhyzB_RK1DSiOsrggPv8O_APSXBA/edit" TargetMode="External"/><Relationship Id="rId12" Type="http://schemas.openxmlformats.org/officeDocument/2006/relationships/hyperlink" Target="https://docs.google.com/document/d/121QQEgQOLV84VSjiyyokVz5GUAjXdxaZRyhNdd_H4jQ/edit" TargetMode="External"/><Relationship Id="rId17" Type="http://schemas.openxmlformats.org/officeDocument/2006/relationships/hyperlink" Target="https://docs.google.com/document/d/1_cI2L7dkV32hEyKbLOgFOlURt412lsYleX9wvz-hslE/edit" TargetMode="External"/><Relationship Id="rId2" Type="http://schemas.openxmlformats.org/officeDocument/2006/relationships/styles" Target="styles.xml"/><Relationship Id="rId16" Type="http://schemas.openxmlformats.org/officeDocument/2006/relationships/hyperlink" Target="https://docs.google.com/document/d/1rIyPpTHyaBByTa3mBJgpJ4do6Cayyj0E1bhEWwMWZzg/ed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idoc-crm.org/" TargetMode="External"/><Relationship Id="rId11" Type="http://schemas.openxmlformats.org/officeDocument/2006/relationships/hyperlink" Target="https://docs.google.com/document/d/121QQEgQOLV84VSjiyyokVz5GUAjXdxaZRyhNdd_H4jQ/edit" TargetMode="External"/><Relationship Id="rId5" Type="http://schemas.openxmlformats.org/officeDocument/2006/relationships/hyperlink" Target="https://doi.org/10.26225/FDZH-X261" TargetMode="External"/><Relationship Id="rId15" Type="http://schemas.openxmlformats.org/officeDocument/2006/relationships/hyperlink" Target="https://docs.google.com/document/d/1rIyPpTHyaBByTa3mBJgpJ4do6Cayyj0E1bhEWwMWZzg/edit" TargetMode="External"/><Relationship Id="rId10" Type="http://schemas.openxmlformats.org/officeDocument/2006/relationships/hyperlink" Target="http://conferences.idealliance.org/extreme/html/2003/Lawton01/EML2003Lawton01.html" TargetMode="External"/><Relationship Id="rId19" Type="http://schemas.openxmlformats.org/officeDocument/2006/relationships/hyperlink" Target="https://docs.google.com/document/d/1_cI2L7dkV32hEyKbLOgFOlURt412lsYleX9wvz-hslE/edit" TargetMode="External"/><Relationship Id="rId4" Type="http://schemas.openxmlformats.org/officeDocument/2006/relationships/webSettings" Target="webSettings.xml"/><Relationship Id="rId9" Type="http://schemas.openxmlformats.org/officeDocument/2006/relationships/hyperlink" Target="https://docs.google.com/document/d/121QQEgQOLV84VSjiyyokVz5GUAjXdxaZRyhNdd_H4jQ/edit" TargetMode="External"/><Relationship Id="rId14" Type="http://schemas.openxmlformats.org/officeDocument/2006/relationships/hyperlink" Target="https://docs.google.com/document/d/1rIyPpTHyaBByTa3mBJgpJ4do6Cayyj0E1bhEWwMWZz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3</cp:revision>
  <dcterms:created xsi:type="dcterms:W3CDTF">2021-09-30T11:48:00Z</dcterms:created>
  <dcterms:modified xsi:type="dcterms:W3CDTF">2021-10-01T10:28:00Z</dcterms:modified>
</cp:coreProperties>
</file>